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Правовое регулирование налогообложения субъектов ТЭК</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Международное энергетическое право</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11DC922" w:rsidR="00A77598" w:rsidRPr="00A77598" w:rsidRDefault="00A77598"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44C64" w:rsidRDefault="007A7979" w:rsidP="00511619">
            <w:pPr>
              <w:rPr>
                <w:rFonts w:ascii="Times New Roman" w:hAnsi="Times New Roman" w:cs="Times New Roman"/>
                <w:sz w:val="20"/>
                <w:szCs w:val="20"/>
              </w:rPr>
            </w:pPr>
            <w:r w:rsidRPr="00044C64">
              <w:rPr>
                <w:rFonts w:ascii="Times New Roman" w:hAnsi="Times New Roman" w:cs="Times New Roman"/>
                <w:sz w:val="20"/>
                <w:szCs w:val="20"/>
              </w:rPr>
              <w:t>Старший преподаватель, Волковская Людмила Николаевна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F558416" w:rsidR="004475DA" w:rsidRPr="00ED577F"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02FC6305" w14:textId="3D69B2A5" w:rsidR="00F22E5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32693807" w:history="1">
            <w:r w:rsidR="00F22E50" w:rsidRPr="00FA521F">
              <w:rPr>
                <w:rStyle w:val="a8"/>
                <w:rFonts w:ascii="Times New Roman" w:hAnsi="Times New Roman" w:cs="Times New Roman"/>
                <w:b/>
                <w:noProof/>
              </w:rPr>
              <w:t>1. ЦЕЛИ ОСВОЕНИЯ ДИСЦИПЛИНЫ</w:t>
            </w:r>
            <w:r w:rsidR="00F22E50">
              <w:rPr>
                <w:noProof/>
                <w:webHidden/>
              </w:rPr>
              <w:tab/>
            </w:r>
            <w:r w:rsidR="00F22E50">
              <w:rPr>
                <w:noProof/>
                <w:webHidden/>
              </w:rPr>
              <w:fldChar w:fldCharType="begin"/>
            </w:r>
            <w:r w:rsidR="00F22E50">
              <w:rPr>
                <w:noProof/>
                <w:webHidden/>
              </w:rPr>
              <w:instrText xml:space="preserve"> PAGEREF _Toc232693807 \h </w:instrText>
            </w:r>
            <w:r w:rsidR="00F22E50">
              <w:rPr>
                <w:noProof/>
                <w:webHidden/>
              </w:rPr>
            </w:r>
            <w:r w:rsidR="00F22E50">
              <w:rPr>
                <w:noProof/>
                <w:webHidden/>
              </w:rPr>
              <w:fldChar w:fldCharType="separate"/>
            </w:r>
            <w:r w:rsidR="00F22E50">
              <w:rPr>
                <w:noProof/>
                <w:webHidden/>
              </w:rPr>
              <w:t>3</w:t>
            </w:r>
            <w:r w:rsidR="00F22E50">
              <w:rPr>
                <w:noProof/>
                <w:webHidden/>
              </w:rPr>
              <w:fldChar w:fldCharType="end"/>
            </w:r>
          </w:hyperlink>
        </w:p>
        <w:p w14:paraId="276F6174" w14:textId="0406E8B9" w:rsidR="00F22E50" w:rsidRDefault="00F22E50">
          <w:pPr>
            <w:pStyle w:val="11"/>
            <w:tabs>
              <w:tab w:val="right" w:leader="dot" w:pos="9345"/>
            </w:tabs>
            <w:rPr>
              <w:rFonts w:eastAsiaTheme="minorEastAsia"/>
              <w:noProof/>
              <w:lang w:eastAsia="ru-RU"/>
            </w:rPr>
          </w:pPr>
          <w:hyperlink w:anchor="_Toc232693808" w:history="1">
            <w:r w:rsidRPr="00FA521F">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_Toc232693808 \h </w:instrText>
            </w:r>
            <w:r>
              <w:rPr>
                <w:noProof/>
                <w:webHidden/>
              </w:rPr>
            </w:r>
            <w:r>
              <w:rPr>
                <w:noProof/>
                <w:webHidden/>
              </w:rPr>
              <w:fldChar w:fldCharType="separate"/>
            </w:r>
            <w:r>
              <w:rPr>
                <w:noProof/>
                <w:webHidden/>
              </w:rPr>
              <w:t>3</w:t>
            </w:r>
            <w:r>
              <w:rPr>
                <w:noProof/>
                <w:webHidden/>
              </w:rPr>
              <w:fldChar w:fldCharType="end"/>
            </w:r>
          </w:hyperlink>
        </w:p>
        <w:p w14:paraId="76FA602D" w14:textId="7D286371" w:rsidR="00F22E50" w:rsidRDefault="00F22E50">
          <w:pPr>
            <w:pStyle w:val="11"/>
            <w:tabs>
              <w:tab w:val="right" w:leader="dot" w:pos="9345"/>
            </w:tabs>
            <w:rPr>
              <w:rFonts w:eastAsiaTheme="minorEastAsia"/>
              <w:noProof/>
              <w:lang w:eastAsia="ru-RU"/>
            </w:rPr>
          </w:pPr>
          <w:hyperlink w:anchor="_Toc232693809" w:history="1">
            <w:r w:rsidRPr="00FA521F">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_Toc232693809 \h </w:instrText>
            </w:r>
            <w:r>
              <w:rPr>
                <w:noProof/>
                <w:webHidden/>
              </w:rPr>
            </w:r>
            <w:r>
              <w:rPr>
                <w:noProof/>
                <w:webHidden/>
              </w:rPr>
              <w:fldChar w:fldCharType="separate"/>
            </w:r>
            <w:r>
              <w:rPr>
                <w:noProof/>
                <w:webHidden/>
              </w:rPr>
              <w:t>3</w:t>
            </w:r>
            <w:r>
              <w:rPr>
                <w:noProof/>
                <w:webHidden/>
              </w:rPr>
              <w:fldChar w:fldCharType="end"/>
            </w:r>
          </w:hyperlink>
        </w:p>
        <w:p w14:paraId="7E48A8A9" w14:textId="3B70FB9A" w:rsidR="00F22E50" w:rsidRDefault="00F22E50">
          <w:pPr>
            <w:pStyle w:val="11"/>
            <w:tabs>
              <w:tab w:val="right" w:leader="dot" w:pos="9345"/>
            </w:tabs>
            <w:rPr>
              <w:rFonts w:eastAsiaTheme="minorEastAsia"/>
              <w:noProof/>
              <w:lang w:eastAsia="ru-RU"/>
            </w:rPr>
          </w:pPr>
          <w:hyperlink w:anchor="_Toc232693810" w:history="1">
            <w:r w:rsidRPr="00FA521F">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_Toc232693810 \h </w:instrText>
            </w:r>
            <w:r>
              <w:rPr>
                <w:noProof/>
                <w:webHidden/>
              </w:rPr>
            </w:r>
            <w:r>
              <w:rPr>
                <w:noProof/>
                <w:webHidden/>
              </w:rPr>
              <w:fldChar w:fldCharType="separate"/>
            </w:r>
            <w:r>
              <w:rPr>
                <w:noProof/>
                <w:webHidden/>
              </w:rPr>
              <w:t>4</w:t>
            </w:r>
            <w:r>
              <w:rPr>
                <w:noProof/>
                <w:webHidden/>
              </w:rPr>
              <w:fldChar w:fldCharType="end"/>
            </w:r>
          </w:hyperlink>
        </w:p>
        <w:p w14:paraId="447B6796" w14:textId="6EF55C70" w:rsidR="00F22E50" w:rsidRDefault="00F22E50">
          <w:pPr>
            <w:pStyle w:val="11"/>
            <w:tabs>
              <w:tab w:val="right" w:leader="dot" w:pos="9345"/>
            </w:tabs>
            <w:rPr>
              <w:rFonts w:eastAsiaTheme="minorEastAsia"/>
              <w:noProof/>
              <w:lang w:eastAsia="ru-RU"/>
            </w:rPr>
          </w:pPr>
          <w:hyperlink w:anchor="_Toc232693811" w:history="1">
            <w:r w:rsidRPr="00FA521F">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_Toc232693811 \h </w:instrText>
            </w:r>
            <w:r>
              <w:rPr>
                <w:noProof/>
                <w:webHidden/>
              </w:rPr>
            </w:r>
            <w:r>
              <w:rPr>
                <w:noProof/>
                <w:webHidden/>
              </w:rPr>
              <w:fldChar w:fldCharType="separate"/>
            </w:r>
            <w:r>
              <w:rPr>
                <w:noProof/>
                <w:webHidden/>
              </w:rPr>
              <w:t>6</w:t>
            </w:r>
            <w:r>
              <w:rPr>
                <w:noProof/>
                <w:webHidden/>
              </w:rPr>
              <w:fldChar w:fldCharType="end"/>
            </w:r>
          </w:hyperlink>
        </w:p>
        <w:p w14:paraId="4D41B9A3" w14:textId="25501036" w:rsidR="00F22E50" w:rsidRDefault="00F22E50">
          <w:pPr>
            <w:pStyle w:val="21"/>
            <w:tabs>
              <w:tab w:val="right" w:leader="dot" w:pos="9345"/>
            </w:tabs>
            <w:rPr>
              <w:rFonts w:eastAsiaTheme="minorEastAsia"/>
              <w:noProof/>
              <w:lang w:eastAsia="ru-RU"/>
            </w:rPr>
          </w:pPr>
          <w:hyperlink w:anchor="_Toc232693812" w:history="1">
            <w:r w:rsidRPr="00FA521F">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_Toc232693812 \h </w:instrText>
            </w:r>
            <w:r>
              <w:rPr>
                <w:noProof/>
                <w:webHidden/>
              </w:rPr>
            </w:r>
            <w:r>
              <w:rPr>
                <w:noProof/>
                <w:webHidden/>
              </w:rPr>
              <w:fldChar w:fldCharType="separate"/>
            </w:r>
            <w:r>
              <w:rPr>
                <w:noProof/>
                <w:webHidden/>
              </w:rPr>
              <w:t>6</w:t>
            </w:r>
            <w:r>
              <w:rPr>
                <w:noProof/>
                <w:webHidden/>
              </w:rPr>
              <w:fldChar w:fldCharType="end"/>
            </w:r>
          </w:hyperlink>
        </w:p>
        <w:p w14:paraId="6D7B7B61" w14:textId="588F547A" w:rsidR="00F22E50" w:rsidRDefault="00F22E50">
          <w:pPr>
            <w:pStyle w:val="21"/>
            <w:tabs>
              <w:tab w:val="right" w:leader="dot" w:pos="9345"/>
            </w:tabs>
            <w:rPr>
              <w:rFonts w:eastAsiaTheme="minorEastAsia"/>
              <w:noProof/>
              <w:lang w:eastAsia="ru-RU"/>
            </w:rPr>
          </w:pPr>
          <w:hyperlink w:anchor="_Toc232693813" w:history="1">
            <w:r w:rsidRPr="00FA521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_Toc232693813 \h </w:instrText>
            </w:r>
            <w:r>
              <w:rPr>
                <w:noProof/>
                <w:webHidden/>
              </w:rPr>
            </w:r>
            <w:r>
              <w:rPr>
                <w:noProof/>
                <w:webHidden/>
              </w:rPr>
              <w:fldChar w:fldCharType="separate"/>
            </w:r>
            <w:r>
              <w:rPr>
                <w:noProof/>
                <w:webHidden/>
              </w:rPr>
              <w:t>7</w:t>
            </w:r>
            <w:r>
              <w:rPr>
                <w:noProof/>
                <w:webHidden/>
              </w:rPr>
              <w:fldChar w:fldCharType="end"/>
            </w:r>
          </w:hyperlink>
        </w:p>
        <w:p w14:paraId="353917EC" w14:textId="4030AF7C" w:rsidR="00F22E50" w:rsidRDefault="00F22E50">
          <w:pPr>
            <w:pStyle w:val="21"/>
            <w:tabs>
              <w:tab w:val="right" w:leader="dot" w:pos="9345"/>
            </w:tabs>
            <w:rPr>
              <w:rFonts w:eastAsiaTheme="minorEastAsia"/>
              <w:noProof/>
              <w:lang w:eastAsia="ru-RU"/>
            </w:rPr>
          </w:pPr>
          <w:hyperlink w:anchor="_Toc232693814" w:history="1">
            <w:r w:rsidRPr="00FA521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_Toc232693814 \h </w:instrText>
            </w:r>
            <w:r>
              <w:rPr>
                <w:noProof/>
                <w:webHidden/>
              </w:rPr>
            </w:r>
            <w:r>
              <w:rPr>
                <w:noProof/>
                <w:webHidden/>
              </w:rPr>
              <w:fldChar w:fldCharType="separate"/>
            </w:r>
            <w:r>
              <w:rPr>
                <w:noProof/>
                <w:webHidden/>
              </w:rPr>
              <w:t>7</w:t>
            </w:r>
            <w:r>
              <w:rPr>
                <w:noProof/>
                <w:webHidden/>
              </w:rPr>
              <w:fldChar w:fldCharType="end"/>
            </w:r>
          </w:hyperlink>
        </w:p>
        <w:p w14:paraId="6A5790EC" w14:textId="62CA631D" w:rsidR="00F22E50" w:rsidRDefault="00F22E50">
          <w:pPr>
            <w:pStyle w:val="11"/>
            <w:tabs>
              <w:tab w:val="right" w:leader="dot" w:pos="9345"/>
            </w:tabs>
            <w:rPr>
              <w:rFonts w:eastAsiaTheme="minorEastAsia"/>
              <w:noProof/>
              <w:lang w:eastAsia="ru-RU"/>
            </w:rPr>
          </w:pPr>
          <w:hyperlink w:anchor="_Toc232693815" w:history="1">
            <w:r w:rsidRPr="00FA521F">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_Toc232693815 \h </w:instrText>
            </w:r>
            <w:r>
              <w:rPr>
                <w:noProof/>
                <w:webHidden/>
              </w:rPr>
            </w:r>
            <w:r>
              <w:rPr>
                <w:noProof/>
                <w:webHidden/>
              </w:rPr>
              <w:fldChar w:fldCharType="separate"/>
            </w:r>
            <w:r>
              <w:rPr>
                <w:noProof/>
                <w:webHidden/>
              </w:rPr>
              <w:t>7</w:t>
            </w:r>
            <w:r>
              <w:rPr>
                <w:noProof/>
                <w:webHidden/>
              </w:rPr>
              <w:fldChar w:fldCharType="end"/>
            </w:r>
          </w:hyperlink>
        </w:p>
        <w:p w14:paraId="3C5FA5EB" w14:textId="07C658D9" w:rsidR="00F22E50" w:rsidRDefault="00F22E50">
          <w:pPr>
            <w:pStyle w:val="11"/>
            <w:tabs>
              <w:tab w:val="right" w:leader="dot" w:pos="9345"/>
            </w:tabs>
            <w:rPr>
              <w:rFonts w:eastAsiaTheme="minorEastAsia"/>
              <w:noProof/>
              <w:lang w:eastAsia="ru-RU"/>
            </w:rPr>
          </w:pPr>
          <w:hyperlink w:anchor="_Toc232693816" w:history="1">
            <w:r w:rsidRPr="00FA521F">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_Toc232693816 \h </w:instrText>
            </w:r>
            <w:r>
              <w:rPr>
                <w:noProof/>
                <w:webHidden/>
              </w:rPr>
            </w:r>
            <w:r>
              <w:rPr>
                <w:noProof/>
                <w:webHidden/>
              </w:rPr>
              <w:fldChar w:fldCharType="separate"/>
            </w:r>
            <w:r>
              <w:rPr>
                <w:noProof/>
                <w:webHidden/>
              </w:rPr>
              <w:t>9</w:t>
            </w:r>
            <w:r>
              <w:rPr>
                <w:noProof/>
                <w:webHidden/>
              </w:rPr>
              <w:fldChar w:fldCharType="end"/>
            </w:r>
          </w:hyperlink>
        </w:p>
        <w:p w14:paraId="3C6D0FB3" w14:textId="1A30A89A" w:rsidR="00F22E50" w:rsidRDefault="00F22E50">
          <w:pPr>
            <w:pStyle w:val="11"/>
            <w:tabs>
              <w:tab w:val="right" w:leader="dot" w:pos="9345"/>
            </w:tabs>
            <w:rPr>
              <w:rFonts w:eastAsiaTheme="minorEastAsia"/>
              <w:noProof/>
              <w:lang w:eastAsia="ru-RU"/>
            </w:rPr>
          </w:pPr>
          <w:hyperlink w:anchor="_Toc232693817" w:history="1">
            <w:r w:rsidRPr="00FA521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_Toc232693817 \h </w:instrText>
            </w:r>
            <w:r>
              <w:rPr>
                <w:noProof/>
                <w:webHidden/>
              </w:rPr>
            </w:r>
            <w:r>
              <w:rPr>
                <w:noProof/>
                <w:webHidden/>
              </w:rPr>
              <w:fldChar w:fldCharType="separate"/>
            </w:r>
            <w:r>
              <w:rPr>
                <w:noProof/>
                <w:webHidden/>
              </w:rPr>
              <w:t>10</w:t>
            </w:r>
            <w:r>
              <w:rPr>
                <w:noProof/>
                <w:webHidden/>
              </w:rPr>
              <w:fldChar w:fldCharType="end"/>
            </w:r>
          </w:hyperlink>
        </w:p>
        <w:p w14:paraId="3F000C03" w14:textId="1BD60EE4" w:rsidR="00F22E50" w:rsidRDefault="00F22E50">
          <w:pPr>
            <w:pStyle w:val="11"/>
            <w:tabs>
              <w:tab w:val="right" w:leader="dot" w:pos="9345"/>
            </w:tabs>
            <w:rPr>
              <w:rFonts w:eastAsiaTheme="minorEastAsia"/>
              <w:noProof/>
              <w:lang w:eastAsia="ru-RU"/>
            </w:rPr>
          </w:pPr>
          <w:hyperlink w:anchor="_Toc232693818" w:history="1">
            <w:r w:rsidRPr="00FA521F">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_Toc232693818 \h </w:instrText>
            </w:r>
            <w:r>
              <w:rPr>
                <w:noProof/>
                <w:webHidden/>
              </w:rPr>
            </w:r>
            <w:r>
              <w:rPr>
                <w:noProof/>
                <w:webHidden/>
              </w:rPr>
              <w:fldChar w:fldCharType="separate"/>
            </w:r>
            <w:r>
              <w:rPr>
                <w:noProof/>
                <w:webHidden/>
              </w:rPr>
              <w:t>12</w:t>
            </w:r>
            <w:r>
              <w:rPr>
                <w:noProof/>
                <w:webHidden/>
              </w:rPr>
              <w:fldChar w:fldCharType="end"/>
            </w:r>
          </w:hyperlink>
        </w:p>
        <w:p w14:paraId="7FD99B97" w14:textId="2DEA5F18" w:rsidR="00F22E50" w:rsidRDefault="00F22E50">
          <w:pPr>
            <w:pStyle w:val="21"/>
            <w:tabs>
              <w:tab w:val="right" w:leader="dot" w:pos="9345"/>
            </w:tabs>
            <w:rPr>
              <w:rFonts w:eastAsiaTheme="minorEastAsia"/>
              <w:noProof/>
              <w:lang w:eastAsia="ru-RU"/>
            </w:rPr>
          </w:pPr>
          <w:hyperlink w:anchor="_Toc232693819" w:history="1">
            <w:r w:rsidRPr="00FA521F">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_Toc232693819 \h </w:instrText>
            </w:r>
            <w:r>
              <w:rPr>
                <w:noProof/>
                <w:webHidden/>
              </w:rPr>
            </w:r>
            <w:r>
              <w:rPr>
                <w:noProof/>
                <w:webHidden/>
              </w:rPr>
              <w:fldChar w:fldCharType="separate"/>
            </w:r>
            <w:r>
              <w:rPr>
                <w:noProof/>
                <w:webHidden/>
              </w:rPr>
              <w:t>12</w:t>
            </w:r>
            <w:r>
              <w:rPr>
                <w:noProof/>
                <w:webHidden/>
              </w:rPr>
              <w:fldChar w:fldCharType="end"/>
            </w:r>
          </w:hyperlink>
        </w:p>
        <w:p w14:paraId="5A32DB27" w14:textId="1D690C27" w:rsidR="00F22E50" w:rsidRDefault="00F22E50">
          <w:pPr>
            <w:pStyle w:val="21"/>
            <w:tabs>
              <w:tab w:val="right" w:leader="dot" w:pos="9345"/>
            </w:tabs>
            <w:rPr>
              <w:rFonts w:eastAsiaTheme="minorEastAsia"/>
              <w:noProof/>
              <w:lang w:eastAsia="ru-RU"/>
            </w:rPr>
          </w:pPr>
          <w:hyperlink w:anchor="_Toc232693820" w:history="1">
            <w:r w:rsidRPr="00FA521F">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_Toc232693820 \h </w:instrText>
            </w:r>
            <w:r>
              <w:rPr>
                <w:noProof/>
                <w:webHidden/>
              </w:rPr>
            </w:r>
            <w:r>
              <w:rPr>
                <w:noProof/>
                <w:webHidden/>
              </w:rPr>
              <w:fldChar w:fldCharType="separate"/>
            </w:r>
            <w:r>
              <w:rPr>
                <w:noProof/>
                <w:webHidden/>
              </w:rPr>
              <w:t>12</w:t>
            </w:r>
            <w:r>
              <w:rPr>
                <w:noProof/>
                <w:webHidden/>
              </w:rPr>
              <w:fldChar w:fldCharType="end"/>
            </w:r>
          </w:hyperlink>
        </w:p>
        <w:p w14:paraId="6C0E4533" w14:textId="58A5355A" w:rsidR="00F22E50" w:rsidRDefault="00F22E50">
          <w:pPr>
            <w:pStyle w:val="21"/>
            <w:tabs>
              <w:tab w:val="right" w:leader="dot" w:pos="9345"/>
            </w:tabs>
            <w:rPr>
              <w:rFonts w:eastAsiaTheme="minorEastAsia"/>
              <w:noProof/>
              <w:lang w:eastAsia="ru-RU"/>
            </w:rPr>
          </w:pPr>
          <w:hyperlink w:anchor="_Toc232693821" w:history="1">
            <w:r w:rsidRPr="00FA521F">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_Toc232693821 \h </w:instrText>
            </w:r>
            <w:r>
              <w:rPr>
                <w:noProof/>
                <w:webHidden/>
              </w:rPr>
            </w:r>
            <w:r>
              <w:rPr>
                <w:noProof/>
                <w:webHidden/>
              </w:rPr>
              <w:fldChar w:fldCharType="separate"/>
            </w:r>
            <w:r>
              <w:rPr>
                <w:noProof/>
                <w:webHidden/>
              </w:rPr>
              <w:t>12</w:t>
            </w:r>
            <w:r>
              <w:rPr>
                <w:noProof/>
                <w:webHidden/>
              </w:rPr>
              <w:fldChar w:fldCharType="end"/>
            </w:r>
          </w:hyperlink>
        </w:p>
        <w:p w14:paraId="7A81B427" w14:textId="2B64E3FB" w:rsidR="00F22E50" w:rsidRDefault="00F22E50">
          <w:pPr>
            <w:pStyle w:val="21"/>
            <w:tabs>
              <w:tab w:val="right" w:leader="dot" w:pos="9345"/>
            </w:tabs>
            <w:rPr>
              <w:rFonts w:eastAsiaTheme="minorEastAsia"/>
              <w:noProof/>
              <w:lang w:eastAsia="ru-RU"/>
            </w:rPr>
          </w:pPr>
          <w:hyperlink w:anchor="_Toc232693822" w:history="1">
            <w:r w:rsidRPr="00FA521F">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_Toc232693822 \h </w:instrText>
            </w:r>
            <w:r>
              <w:rPr>
                <w:noProof/>
                <w:webHidden/>
              </w:rPr>
            </w:r>
            <w:r>
              <w:rPr>
                <w:noProof/>
                <w:webHidden/>
              </w:rPr>
              <w:fldChar w:fldCharType="separate"/>
            </w:r>
            <w:r>
              <w:rPr>
                <w:noProof/>
                <w:webHidden/>
              </w:rPr>
              <w:t>12</w:t>
            </w:r>
            <w:r>
              <w:rPr>
                <w:noProof/>
                <w:webHidden/>
              </w:rPr>
              <w:fldChar w:fldCharType="end"/>
            </w:r>
          </w:hyperlink>
        </w:p>
        <w:p w14:paraId="5CE93B78" w14:textId="6DCD853D" w:rsidR="00F22E50" w:rsidRDefault="00F22E50">
          <w:pPr>
            <w:pStyle w:val="21"/>
            <w:tabs>
              <w:tab w:val="right" w:leader="dot" w:pos="9345"/>
            </w:tabs>
            <w:rPr>
              <w:rFonts w:eastAsiaTheme="minorEastAsia"/>
              <w:noProof/>
              <w:lang w:eastAsia="ru-RU"/>
            </w:rPr>
          </w:pPr>
          <w:hyperlink w:anchor="_Toc232693823" w:history="1">
            <w:r w:rsidRPr="00FA521F">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_Toc232693823 \h </w:instrText>
            </w:r>
            <w:r>
              <w:rPr>
                <w:noProof/>
                <w:webHidden/>
              </w:rPr>
            </w:r>
            <w:r>
              <w:rPr>
                <w:noProof/>
                <w:webHidden/>
              </w:rPr>
              <w:fldChar w:fldCharType="separate"/>
            </w:r>
            <w:r>
              <w:rPr>
                <w:noProof/>
                <w:webHidden/>
              </w:rPr>
              <w:t>12</w:t>
            </w:r>
            <w:r>
              <w:rPr>
                <w:noProof/>
                <w:webHidden/>
              </w:rPr>
              <w:fldChar w:fldCharType="end"/>
            </w:r>
          </w:hyperlink>
        </w:p>
        <w:p w14:paraId="7A9B5BCF" w14:textId="3F173271" w:rsidR="00F22E50" w:rsidRDefault="00F22E50">
          <w:pPr>
            <w:pStyle w:val="21"/>
            <w:tabs>
              <w:tab w:val="right" w:leader="dot" w:pos="9345"/>
            </w:tabs>
            <w:rPr>
              <w:rFonts w:eastAsiaTheme="minorEastAsia"/>
              <w:noProof/>
              <w:lang w:eastAsia="ru-RU"/>
            </w:rPr>
          </w:pPr>
          <w:hyperlink w:anchor="_Toc232693824" w:history="1">
            <w:r w:rsidRPr="00FA521F">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_Toc232693824 \h </w:instrText>
            </w:r>
            <w:r>
              <w:rPr>
                <w:noProof/>
                <w:webHidden/>
              </w:rPr>
            </w:r>
            <w:r>
              <w:rPr>
                <w:noProof/>
                <w:webHidden/>
              </w:rPr>
              <w:fldChar w:fldCharType="separate"/>
            </w:r>
            <w:r>
              <w:rPr>
                <w:noProof/>
                <w:webHidden/>
              </w:rPr>
              <w:t>12</w:t>
            </w:r>
            <w:r>
              <w:rPr>
                <w:noProof/>
                <w:webHidden/>
              </w:rPr>
              <w:fldChar w:fldCharType="end"/>
            </w:r>
          </w:hyperlink>
        </w:p>
        <w:p w14:paraId="0DD49713" w14:textId="2CBDA8AB"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3269380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06445B84" w:rsidR="00751095" w:rsidRPr="00352B6F" w:rsidRDefault="00044C64" w:rsidP="009F62AE">
            <w:pPr>
              <w:rPr>
                <w:rFonts w:ascii="Times New Roman" w:hAnsi="Times New Roman" w:cs="Times New Roman"/>
                <w:sz w:val="28"/>
                <w:szCs w:val="28"/>
              </w:rPr>
            </w:pPr>
            <w:r>
              <w:rPr>
                <w:rFonts w:ascii="Times New Roman" w:hAnsi="Times New Roman" w:cs="Times New Roman"/>
                <w:sz w:val="24"/>
                <w:szCs w:val="28"/>
              </w:rPr>
              <w:t>Ф</w:t>
            </w:r>
            <w:r w:rsidR="00990F27" w:rsidRPr="00352B6F">
              <w:rPr>
                <w:rFonts w:ascii="Times New Roman" w:hAnsi="Times New Roman" w:cs="Times New Roman"/>
                <w:sz w:val="24"/>
                <w:szCs w:val="28"/>
              </w:rPr>
              <w:t>ормирование у обучающихся системы углублённых теоретических знаний и прикладных компетенций в области правового регулирования налогообложения организаций топливно-энергетического комплекса (ТЭК), включая изучение специальных налоговых режимов, особенностей исчисления и уплаты налогов в нефтяной, газовой, угольной и электроэнергетической отраслях, а также механизмов налогового стимулирования и налогового контроля в сфере ТЭК.</w:t>
            </w:r>
            <w:r w:rsidR="00990F27" w:rsidRPr="00352B6F">
              <w:rPr>
                <w:rFonts w:ascii="Times New Roman" w:hAnsi="Times New Roman" w:cs="Times New Roman"/>
                <w:sz w:val="24"/>
                <w:szCs w:val="28"/>
              </w:rPr>
              <w:br/>
              <w:t>Дисциплина ориентирована на подготовку магистров юриспруденции для работы в энергетических компаниях (включая вертикально-интегрированные нефтяные и газовые корпорации), налоговых органах, консалтинговых и аудиторских организациях, специализирующихся на налоговом сопровождении субъектов ТЭК, а также для осуществления независимой юридической практики в области налогового консультирования и защиты прав налогоплательщиков энергетического сектора.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3269380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Правовое регулирование налогообложения субъектов ТЭК</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3269380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842"/>
        <w:gridCol w:w="5371"/>
      </w:tblGrid>
      <w:tr w:rsidR="00751095" w:rsidRPr="00044C6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44C6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44C6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44C6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44C6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44C64" w:rsidRDefault="00751095" w:rsidP="009207A4">
            <w:pPr>
              <w:tabs>
                <w:tab w:val="left" w:pos="0"/>
              </w:tabs>
              <w:jc w:val="center"/>
              <w:rPr>
                <w:rFonts w:ascii="Times New Roman" w:hAnsi="Times New Roman" w:cs="Times New Roman"/>
                <w:lang w:bidi="ru-RU"/>
              </w:rPr>
            </w:pPr>
            <w:r w:rsidRPr="00044C64">
              <w:rPr>
                <w:rFonts w:ascii="Times New Roman" w:hAnsi="Times New Roman" w:cs="Times New Roman"/>
                <w:b/>
              </w:rPr>
              <w:t>Планируемые результаты обучения по дисциплине</w:t>
            </w:r>
          </w:p>
          <w:p w14:paraId="4A80ACB9" w14:textId="77777777" w:rsidR="00751095" w:rsidRPr="00044C6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44C6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44C64" w:rsidRDefault="00FD518F" w:rsidP="009207A4">
            <w:pPr>
              <w:widowControl w:val="0"/>
              <w:tabs>
                <w:tab w:val="left" w:pos="0"/>
              </w:tabs>
              <w:autoSpaceDE w:val="0"/>
              <w:autoSpaceDN w:val="0"/>
              <w:rPr>
                <w:rFonts w:ascii="Times New Roman" w:hAnsi="Times New Roman" w:cs="Times New Roman"/>
              </w:rPr>
            </w:pPr>
            <w:r w:rsidRPr="00044C64">
              <w:rPr>
                <w:rFonts w:ascii="Times New Roman" w:hAnsi="Times New Roman" w:cs="Times New Roman"/>
              </w:rPr>
              <w:t>ПК-4 - Способен обеспечить юридическое сопровождение договорных отношений в области энергетики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44C64" w:rsidRDefault="00FD518F" w:rsidP="009207A4">
            <w:pPr>
              <w:widowControl w:val="0"/>
              <w:tabs>
                <w:tab w:val="left" w:pos="0"/>
              </w:tabs>
              <w:autoSpaceDE w:val="0"/>
              <w:autoSpaceDN w:val="0"/>
              <w:rPr>
                <w:rFonts w:ascii="Times New Roman" w:hAnsi="Times New Roman" w:cs="Times New Roman"/>
                <w:lang w:bidi="ru-RU"/>
              </w:rPr>
            </w:pPr>
            <w:r w:rsidRPr="00044C64">
              <w:rPr>
                <w:rFonts w:ascii="Times New Roman" w:hAnsi="Times New Roman" w:cs="Times New Roman"/>
                <w:lang w:bidi="ru-RU"/>
              </w:rPr>
              <w:t>ПК-4.2 - Способен осуществлять предупреждение правонарушений в области энергетики, выявлять и устранять причины и условия, способствующие их совершению</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44C64" w:rsidRDefault="00751095" w:rsidP="009207A4">
            <w:pPr>
              <w:autoSpaceDE w:val="0"/>
              <w:autoSpaceDN w:val="0"/>
              <w:adjustRightInd w:val="0"/>
              <w:jc w:val="both"/>
              <w:rPr>
                <w:rFonts w:ascii="Times New Roman" w:hAnsi="Times New Roman" w:cs="Times New Roman"/>
              </w:rPr>
            </w:pPr>
            <w:r w:rsidRPr="00044C64">
              <w:rPr>
                <w:rFonts w:ascii="Times New Roman" w:hAnsi="Times New Roman" w:cs="Times New Roman"/>
              </w:rPr>
              <w:t xml:space="preserve">Знать: </w:t>
            </w:r>
            <w:r w:rsidR="00316402" w:rsidRPr="00044C64">
              <w:rPr>
                <w:rFonts w:ascii="Times New Roman" w:hAnsi="Times New Roman" w:cs="Times New Roman"/>
              </w:rPr>
              <w:t xml:space="preserve">систему налогового законодательства РФ, применимого к субъектам топливно-энергетического комплекса (ТЭК), включая особенности налогообложения добычи полезных ископаемых (НДПИ на нефть, газ, газовый конденсат, уголь), порядок исчисления и уплаты акцизов на нефтепродукты и газ, особенности уплаты налога на прибыль организаций энергетического сектора (включая применение повышающих коэффициентов амортизации, резервов по сомнительным долгам), налога на имущество в отношении энергообъектов (в том числе магистральных трубопроводов, линий электропередачи, теплосетей), порядка применения экспортных пошлин на энергоресурсы (включая механизм демпфера), налога на добавленную стоимость при осуществлении экспортных операций, налоговых льгот для проектов по добыче трудноизвлекаемых запасов, для проектов в Арктике и на континентальном шельфе, правил трансфертного </w:t>
            </w:r>
            <w:r w:rsidR="00316402" w:rsidRPr="00044C64">
              <w:rPr>
                <w:rFonts w:ascii="Times New Roman" w:hAnsi="Times New Roman" w:cs="Times New Roman"/>
              </w:rPr>
              <w:lastRenderedPageBreak/>
              <w:t>ценообразования при сделках с энергоресурсами, а также особенности налогового администрирования, налогового контроля и налоговой ответственности субъектов ТЭК.</w:t>
            </w:r>
            <w:r w:rsidRPr="00044C64">
              <w:rPr>
                <w:rFonts w:ascii="Times New Roman" w:hAnsi="Times New Roman" w:cs="Times New Roman"/>
              </w:rPr>
              <w:t xml:space="preserve"> </w:t>
            </w:r>
          </w:p>
          <w:p w14:paraId="1D618C66" w14:textId="00124F5A" w:rsidR="00751095" w:rsidRPr="00044C64" w:rsidRDefault="00751095" w:rsidP="009207A4">
            <w:pPr>
              <w:autoSpaceDE w:val="0"/>
              <w:autoSpaceDN w:val="0"/>
              <w:adjustRightInd w:val="0"/>
              <w:jc w:val="both"/>
              <w:rPr>
                <w:rFonts w:ascii="Times New Roman" w:hAnsi="Times New Roman" w:cs="Times New Roman"/>
              </w:rPr>
            </w:pPr>
            <w:r w:rsidRPr="00044C64">
              <w:rPr>
                <w:rFonts w:ascii="Times New Roman" w:hAnsi="Times New Roman" w:cs="Times New Roman"/>
              </w:rPr>
              <w:t xml:space="preserve">Уметь: </w:t>
            </w:r>
            <w:r w:rsidR="00FD518F" w:rsidRPr="00044C64">
              <w:rPr>
                <w:rFonts w:ascii="Times New Roman" w:hAnsi="Times New Roman" w:cs="Times New Roman"/>
              </w:rPr>
              <w:t>применять нормативные правовые акты о налогообложении субъектов ТЭК для решения профессиональных задач, квалифицированно исчислять НДПИ, акцизы, налог на прибыль и иные налоги применительно к деятельности предприятий нефтяной, газовой, угольной и электроэнергетической отраслей, анализировать налоговые последствия заключения договоров (включая соглашения о разделе продукции, лицензионные соглашения, сервисные контракты), выявлять налоговые риски, связанные с трансфертным ценообразованием, экспортными операциями, применением льгот и специальных налоговых режимов, а также готовить налоговые расчеты, декларации, возражения по актам налоговых проверок и жалобы в вышестоящие налоговые органы и суды.</w:t>
            </w:r>
            <w:r w:rsidRPr="00044C64">
              <w:rPr>
                <w:rFonts w:ascii="Times New Roman" w:hAnsi="Times New Roman" w:cs="Times New Roman"/>
              </w:rPr>
              <w:t xml:space="preserve">. </w:t>
            </w:r>
          </w:p>
          <w:p w14:paraId="253C4FDD" w14:textId="597ACE7D" w:rsidR="00751095" w:rsidRPr="00044C64" w:rsidRDefault="00751095" w:rsidP="00FD518F">
            <w:pPr>
              <w:autoSpaceDE w:val="0"/>
              <w:autoSpaceDN w:val="0"/>
              <w:adjustRightInd w:val="0"/>
              <w:jc w:val="both"/>
              <w:rPr>
                <w:rFonts w:ascii="Times New Roman" w:hAnsi="Times New Roman" w:cs="Times New Roman"/>
                <w:lang w:bidi="ru-RU"/>
              </w:rPr>
            </w:pPr>
            <w:r w:rsidRPr="00044C64">
              <w:rPr>
                <w:rFonts w:ascii="Times New Roman" w:hAnsi="Times New Roman" w:cs="Times New Roman"/>
              </w:rPr>
              <w:t xml:space="preserve">Владеть: </w:t>
            </w:r>
            <w:r w:rsidR="00FD518F" w:rsidRPr="00044C64">
              <w:rPr>
                <w:rFonts w:ascii="Times New Roman" w:hAnsi="Times New Roman" w:cs="Times New Roman"/>
              </w:rPr>
              <w:t>навыками исчисления НДПИ, акцизов, налога на прибыль и иных налогов, уплачиваемых субъектами ТЭК, способами заполнения налоговых деклараций (декларация по НДПИ, налоговая декларация по косвенным налогам при экспорте, декларация по налогу на прибыль с учетом отраслевой специфики), приемами налогового структурирования сделок в ТЭК (включая выбор оптимального налогового режима для реализации энергопроектов), методами выявления и минимизации налоговых рисков, связанных с контролируемыми сделками и трансфертным ценообразованием, а также способами взаимодействия с налоговыми органами в рамках камеральных и выездных проверок и практическими навыками подготовки правовых заключений по вопросам налогообложения субъектов ТЭК.</w:t>
            </w:r>
            <w:r w:rsidRPr="00044C64">
              <w:rPr>
                <w:rFonts w:ascii="Times New Roman" w:hAnsi="Times New Roman" w:cs="Times New Roman"/>
              </w:rPr>
              <w:t>.</w:t>
            </w:r>
          </w:p>
        </w:tc>
      </w:tr>
    </w:tbl>
    <w:p w14:paraId="010B1EC2" w14:textId="77777777" w:rsidR="00E1429F" w:rsidRPr="00044C6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3269381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 Налогообложение субъектов ТЭК в системе государственного </w:t>
            </w:r>
            <w:r w:rsidRPr="00352B6F">
              <w:rPr>
                <w:rFonts w:ascii="Times New Roman" w:hAnsi="Times New Roman" w:cs="Times New Roman"/>
                <w:lang w:bidi="ru-RU"/>
              </w:rPr>
              <w:lastRenderedPageBreak/>
              <w:t>регулирования топливно-энергетического комплекса.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Понятие и структура топливно-энергетического комплекса.Государственное регулирование деятельности субъектов ТЭК.</w:t>
            </w:r>
            <w:r w:rsidRPr="00352B6F">
              <w:rPr>
                <w:lang w:bidi="ru-RU"/>
              </w:rPr>
              <w:br/>
              <w:t xml:space="preserve">Роль налогово-правовых механизмов в регулировании ТЭК. Принципы </w:t>
            </w:r>
            <w:r w:rsidRPr="00352B6F">
              <w:rPr>
                <w:lang w:bidi="ru-RU"/>
              </w:rPr>
              <w:lastRenderedPageBreak/>
              <w:t>налогообложения субъектов ТЭК.</w:t>
            </w:r>
            <w:r w:rsidRPr="00352B6F">
              <w:rPr>
                <w:lang w:bidi="ru-RU"/>
              </w:rPr>
              <w:br/>
              <w:t>Особенности налогово-правового статуса субъектов ТЭК. Фискальная и стимулирующая функции налогообложения в ТЭК.</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1C1EA94" w14:textId="77777777" w:rsidTr="005B37A7">
        <w:trPr>
          <w:trHeight w:val="283"/>
        </w:trPr>
        <w:tc>
          <w:tcPr>
            <w:tcW w:w="1024" w:type="pct"/>
            <w:shd w:val="clear" w:color="auto" w:fill="auto"/>
            <w:vAlign w:val="center"/>
          </w:tcPr>
          <w:p w14:paraId="3C04252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Субъекты ТЭК как участники налоговых правоотношений.</w:t>
            </w:r>
          </w:p>
        </w:tc>
        <w:tc>
          <w:tcPr>
            <w:tcW w:w="2543" w:type="pct"/>
            <w:gridSpan w:val="2"/>
            <w:shd w:val="clear" w:color="auto" w:fill="auto"/>
          </w:tcPr>
          <w:p w14:paraId="0612B5C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субъектов ТЭК. Нефтегазовые компании как участники налоговых правоотношений. Субъекты электроэнергетики и угольной отрасли. Группы компаний в ТЭК. Крупнейшие налогоплательщики в сфере ТЭК. Права и обязанности субъектов ТЭК в налоговых правоотношениях.</w:t>
            </w:r>
            <w:r w:rsidRPr="00352B6F">
              <w:rPr>
                <w:lang w:bidi="ru-RU"/>
              </w:rPr>
              <w:br/>
            </w:r>
          </w:p>
        </w:tc>
        <w:tc>
          <w:tcPr>
            <w:tcW w:w="357" w:type="pct"/>
            <w:gridSpan w:val="2"/>
            <w:shd w:val="clear" w:color="auto" w:fill="auto"/>
            <w:vAlign w:val="center"/>
          </w:tcPr>
          <w:p w14:paraId="16D4F8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33CD34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F8137D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48C53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478BA8BE" w14:textId="77777777" w:rsidTr="005B37A7">
        <w:trPr>
          <w:trHeight w:val="283"/>
        </w:trPr>
        <w:tc>
          <w:tcPr>
            <w:tcW w:w="1024" w:type="pct"/>
            <w:shd w:val="clear" w:color="auto" w:fill="auto"/>
            <w:vAlign w:val="center"/>
          </w:tcPr>
          <w:p w14:paraId="2750FA5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Система налогов и обязательных платежей субъектов ТЭК.</w:t>
            </w:r>
          </w:p>
        </w:tc>
        <w:tc>
          <w:tcPr>
            <w:tcW w:w="2543" w:type="pct"/>
            <w:gridSpan w:val="2"/>
            <w:shd w:val="clear" w:color="auto" w:fill="auto"/>
          </w:tcPr>
          <w:p w14:paraId="689FEB5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налогов, уплачиваемых субъектами ТЭК. Федеральные, региональные и местные налоги. Налоговые и неналоговые платежи в сфере недропользования. Платежи за пользование природными ресурсами. Налоговая нагрузка субъектов ТЭК.</w:t>
            </w:r>
            <w:r w:rsidRPr="00352B6F">
              <w:rPr>
                <w:lang w:bidi="ru-RU"/>
              </w:rPr>
              <w:br/>
            </w:r>
          </w:p>
        </w:tc>
        <w:tc>
          <w:tcPr>
            <w:tcW w:w="357" w:type="pct"/>
            <w:gridSpan w:val="2"/>
            <w:shd w:val="clear" w:color="auto" w:fill="auto"/>
            <w:vAlign w:val="center"/>
          </w:tcPr>
          <w:p w14:paraId="5A1524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8349A4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50EE3F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4C5CA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E867697" w14:textId="77777777" w:rsidTr="005B37A7">
        <w:trPr>
          <w:trHeight w:val="283"/>
        </w:trPr>
        <w:tc>
          <w:tcPr>
            <w:tcW w:w="1024" w:type="pct"/>
            <w:shd w:val="clear" w:color="auto" w:fill="auto"/>
            <w:vAlign w:val="center"/>
          </w:tcPr>
          <w:p w14:paraId="53D569D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Специальные налоговые механизмы в сфере ТЭК.</w:t>
            </w:r>
          </w:p>
        </w:tc>
        <w:tc>
          <w:tcPr>
            <w:tcW w:w="2543" w:type="pct"/>
            <w:gridSpan w:val="2"/>
            <w:shd w:val="clear" w:color="auto" w:fill="auto"/>
          </w:tcPr>
          <w:p w14:paraId="3D4A881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Налог на добычу полезных ископаемых. Налог на дополнительный доход от добычи углеводородного сырья.Акцизное налогообложение в сфере ТЭК.Обратный акциз и демпфирующий механизм.Специальные коэффициенты и налоговые вычеты.</w:t>
            </w:r>
            <w:r w:rsidRPr="00352B6F">
              <w:rPr>
                <w:lang w:bidi="ru-RU"/>
              </w:rPr>
              <w:br/>
              <w:t>Особенности применения специальных налоговых механизмов в нефтяной, газовой и угольной отраслях.</w:t>
            </w:r>
            <w:r w:rsidRPr="00352B6F">
              <w:rPr>
                <w:lang w:bidi="ru-RU"/>
              </w:rPr>
              <w:br/>
            </w:r>
          </w:p>
        </w:tc>
        <w:tc>
          <w:tcPr>
            <w:tcW w:w="357" w:type="pct"/>
            <w:gridSpan w:val="2"/>
            <w:shd w:val="clear" w:color="auto" w:fill="auto"/>
            <w:vAlign w:val="center"/>
          </w:tcPr>
          <w:p w14:paraId="6F53C78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C1A52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8DAA9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B5A4F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81DCE3A" w14:textId="77777777" w:rsidTr="005B37A7">
        <w:trPr>
          <w:trHeight w:val="283"/>
        </w:trPr>
        <w:tc>
          <w:tcPr>
            <w:tcW w:w="1024" w:type="pct"/>
            <w:shd w:val="clear" w:color="auto" w:fill="auto"/>
            <w:vAlign w:val="center"/>
          </w:tcPr>
          <w:p w14:paraId="7780570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Особенности налогообложения отдельных видов деятельности в ТЭК.</w:t>
            </w:r>
          </w:p>
        </w:tc>
        <w:tc>
          <w:tcPr>
            <w:tcW w:w="2543" w:type="pct"/>
            <w:gridSpan w:val="2"/>
            <w:shd w:val="clear" w:color="auto" w:fill="auto"/>
          </w:tcPr>
          <w:p w14:paraId="119839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Налогообложение добычи нефти.Налогообложение добычи природного газа. Налогообложение угольной промышленности.</w:t>
            </w:r>
            <w:r w:rsidRPr="00352B6F">
              <w:rPr>
                <w:lang w:bidi="ru-RU"/>
              </w:rPr>
              <w:br/>
              <w:t>Налогообложение деятельности в сфере электроэнергетики. Налогообложение транспортировки энергоресурсов.</w:t>
            </w:r>
            <w:r w:rsidRPr="00352B6F">
              <w:rPr>
                <w:lang w:bidi="ru-RU"/>
              </w:rPr>
              <w:br/>
              <w:t>Особенности экспортных операций субъектов ТЭК.</w:t>
            </w:r>
          </w:p>
        </w:tc>
        <w:tc>
          <w:tcPr>
            <w:tcW w:w="357" w:type="pct"/>
            <w:gridSpan w:val="2"/>
            <w:shd w:val="clear" w:color="auto" w:fill="auto"/>
            <w:vAlign w:val="center"/>
          </w:tcPr>
          <w:p w14:paraId="17D681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21229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6139D3E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8309D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1B0DA05" w14:textId="77777777" w:rsidTr="005B37A7">
        <w:trPr>
          <w:trHeight w:val="283"/>
        </w:trPr>
        <w:tc>
          <w:tcPr>
            <w:tcW w:w="1024" w:type="pct"/>
            <w:shd w:val="clear" w:color="auto" w:fill="auto"/>
            <w:vAlign w:val="center"/>
          </w:tcPr>
          <w:p w14:paraId="2A7D85B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Налоговые льготы и меры государственной поддержки субъектов ТЭК.</w:t>
            </w:r>
          </w:p>
        </w:tc>
        <w:tc>
          <w:tcPr>
            <w:tcW w:w="2543" w:type="pct"/>
            <w:gridSpan w:val="2"/>
            <w:shd w:val="clear" w:color="auto" w:fill="auto"/>
          </w:tcPr>
          <w:p w14:paraId="2C7F13E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налоговых льгот.Льготы в сфере недропользования. Налоговые стимулы разработки новых месторождений.</w:t>
            </w:r>
            <w:r w:rsidRPr="00352B6F">
              <w:rPr>
                <w:lang w:bidi="ru-RU"/>
              </w:rPr>
              <w:br/>
              <w:t>Льготы для трудноизвлекаемых запасов. Региональные меры государственной поддержки субъектов ТЭК.</w:t>
            </w:r>
            <w:r w:rsidRPr="00352B6F">
              <w:rPr>
                <w:lang w:bidi="ru-RU"/>
              </w:rPr>
              <w:br/>
            </w:r>
          </w:p>
        </w:tc>
        <w:tc>
          <w:tcPr>
            <w:tcW w:w="357" w:type="pct"/>
            <w:gridSpan w:val="2"/>
            <w:shd w:val="clear" w:color="auto" w:fill="auto"/>
            <w:vAlign w:val="center"/>
          </w:tcPr>
          <w:p w14:paraId="222B194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7662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A9BBC8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9D396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A6E9648" w14:textId="77777777" w:rsidTr="005B37A7">
        <w:trPr>
          <w:trHeight w:val="283"/>
        </w:trPr>
        <w:tc>
          <w:tcPr>
            <w:tcW w:w="1024" w:type="pct"/>
            <w:shd w:val="clear" w:color="auto" w:fill="auto"/>
            <w:vAlign w:val="center"/>
          </w:tcPr>
          <w:p w14:paraId="58A8E0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Налогообложение инвестиционной деятельности субъектов ТЭК.</w:t>
            </w:r>
          </w:p>
        </w:tc>
        <w:tc>
          <w:tcPr>
            <w:tcW w:w="2543" w:type="pct"/>
            <w:gridSpan w:val="2"/>
            <w:shd w:val="clear" w:color="auto" w:fill="auto"/>
          </w:tcPr>
          <w:p w14:paraId="61B31A0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Инвестиционная деятельность субъектов ТЭК. Налоговые аспекты реализации инвестиционных проектов. Соглашения о разделе продукции.Специальные инвестиционные контракты. Налоговые стимулы модернизации производства.Особенности налогообложения </w:t>
            </w:r>
            <w:r w:rsidRPr="00352B6F">
              <w:rPr>
                <w:lang w:bidi="ru-RU"/>
              </w:rPr>
              <w:lastRenderedPageBreak/>
              <w:t>инфраструктурных проектов.</w:t>
            </w:r>
            <w:r w:rsidRPr="00352B6F">
              <w:rPr>
                <w:lang w:bidi="ru-RU"/>
              </w:rPr>
              <w:br/>
            </w:r>
          </w:p>
        </w:tc>
        <w:tc>
          <w:tcPr>
            <w:tcW w:w="357" w:type="pct"/>
            <w:gridSpan w:val="2"/>
            <w:shd w:val="clear" w:color="auto" w:fill="auto"/>
            <w:vAlign w:val="center"/>
          </w:tcPr>
          <w:p w14:paraId="2EF9A59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3A52ED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A7B5C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A001B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FC25897" w14:textId="77777777" w:rsidTr="005B37A7">
        <w:trPr>
          <w:trHeight w:val="283"/>
        </w:trPr>
        <w:tc>
          <w:tcPr>
            <w:tcW w:w="1024" w:type="pct"/>
            <w:shd w:val="clear" w:color="auto" w:fill="auto"/>
            <w:vAlign w:val="center"/>
          </w:tcPr>
          <w:p w14:paraId="5F8828F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Трансграничное налогообложение в деятельности субъектов ТЭК.</w:t>
            </w:r>
          </w:p>
        </w:tc>
        <w:tc>
          <w:tcPr>
            <w:tcW w:w="2543" w:type="pct"/>
            <w:gridSpan w:val="2"/>
            <w:shd w:val="clear" w:color="auto" w:fill="auto"/>
          </w:tcPr>
          <w:p w14:paraId="0598594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Международные аспекты налогообложения субъектов ТЭК. Налогообложение экспортных операций.Трансфертное ценообразование.</w:t>
            </w:r>
            <w:r w:rsidRPr="00352B6F">
              <w:rPr>
                <w:lang w:bidi="ru-RU"/>
              </w:rPr>
              <w:br/>
              <w:t>Контролируемые сделки. Соглашения об избежании двойного налогообложения. Особенности международных проектов в сфере ТЭК.</w:t>
            </w:r>
            <w:r w:rsidRPr="00352B6F">
              <w:rPr>
                <w:lang w:bidi="ru-RU"/>
              </w:rPr>
              <w:br/>
            </w:r>
          </w:p>
        </w:tc>
        <w:tc>
          <w:tcPr>
            <w:tcW w:w="357" w:type="pct"/>
            <w:gridSpan w:val="2"/>
            <w:shd w:val="clear" w:color="auto" w:fill="auto"/>
            <w:vAlign w:val="center"/>
          </w:tcPr>
          <w:p w14:paraId="40A5F8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A4B40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3F3E6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D3006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DF7A8F7" w14:textId="77777777" w:rsidTr="005B37A7">
        <w:trPr>
          <w:trHeight w:val="283"/>
        </w:trPr>
        <w:tc>
          <w:tcPr>
            <w:tcW w:w="1024" w:type="pct"/>
            <w:shd w:val="clear" w:color="auto" w:fill="auto"/>
            <w:vAlign w:val="center"/>
          </w:tcPr>
          <w:p w14:paraId="4DCD5A1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Налоговое администрирование и налоговый контроль деятельности субъектов ТЭК.</w:t>
            </w:r>
          </w:p>
        </w:tc>
        <w:tc>
          <w:tcPr>
            <w:tcW w:w="2543" w:type="pct"/>
            <w:gridSpan w:val="2"/>
            <w:shd w:val="clear" w:color="auto" w:fill="auto"/>
          </w:tcPr>
          <w:p w14:paraId="5A0712C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налогового администрирования. Особенности налогового администрирования крупнейших налогоплательщиков.</w:t>
            </w:r>
            <w:r w:rsidRPr="00352B6F">
              <w:rPr>
                <w:lang w:bidi="ru-RU"/>
              </w:rPr>
              <w:br/>
              <w:t>Налоговый мониторинг субъектов ТЭК. Формы налогового контроля. Цифровизация налогового контроля. Особенности налогового контроля в сфере ТЭК.</w:t>
            </w:r>
            <w:r w:rsidRPr="00352B6F">
              <w:rPr>
                <w:lang w:bidi="ru-RU"/>
              </w:rPr>
              <w:br/>
            </w:r>
          </w:p>
        </w:tc>
        <w:tc>
          <w:tcPr>
            <w:tcW w:w="357" w:type="pct"/>
            <w:gridSpan w:val="2"/>
            <w:shd w:val="clear" w:color="auto" w:fill="auto"/>
            <w:vAlign w:val="center"/>
          </w:tcPr>
          <w:p w14:paraId="5C67587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BAC6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F609E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C0227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1449431" w14:textId="77777777" w:rsidTr="005B37A7">
        <w:trPr>
          <w:trHeight w:val="283"/>
        </w:trPr>
        <w:tc>
          <w:tcPr>
            <w:tcW w:w="1024" w:type="pct"/>
            <w:shd w:val="clear" w:color="auto" w:fill="auto"/>
            <w:vAlign w:val="center"/>
          </w:tcPr>
          <w:p w14:paraId="5119F53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Ответственность субъектов ТЭК за нарушения законодательства о налогах и сборах. Защита прав субъектов ТЭК в налоговых правоотношениях.</w:t>
            </w:r>
          </w:p>
        </w:tc>
        <w:tc>
          <w:tcPr>
            <w:tcW w:w="2543" w:type="pct"/>
            <w:gridSpan w:val="2"/>
            <w:shd w:val="clear" w:color="auto" w:fill="auto"/>
          </w:tcPr>
          <w:p w14:paraId="6BE1A8A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налоговой ответственности. Основания привлечения к налоговой ответственности. Налоговые санкции.</w:t>
            </w:r>
            <w:r w:rsidRPr="00352B6F">
              <w:rPr>
                <w:lang w:bidi="ru-RU"/>
              </w:rPr>
              <w:br/>
              <w:t>Административная и уголовная ответственность в налоговой сфере. Способы защиты прав субъектов ТЭК. Административный и судебный порядок защиты прав налогоплательщиков.</w:t>
            </w:r>
            <w:r w:rsidRPr="00352B6F">
              <w:rPr>
                <w:lang w:bidi="ru-RU"/>
              </w:rPr>
              <w:br/>
            </w:r>
          </w:p>
        </w:tc>
        <w:tc>
          <w:tcPr>
            <w:tcW w:w="357" w:type="pct"/>
            <w:gridSpan w:val="2"/>
            <w:shd w:val="clear" w:color="auto" w:fill="auto"/>
            <w:vAlign w:val="center"/>
          </w:tcPr>
          <w:p w14:paraId="4B1109A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7AC41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66C0CC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32286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3269381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683351A0" w:rsidR="0091168E" w:rsidRDefault="00090AC1" w:rsidP="00511619">
      <w:pPr>
        <w:pStyle w:val="2"/>
        <w:jc w:val="center"/>
        <w:rPr>
          <w:rFonts w:ascii="Times New Roman" w:hAnsi="Times New Roman" w:cs="Times New Roman"/>
          <w:b/>
          <w:color w:val="auto"/>
          <w:sz w:val="28"/>
          <w:szCs w:val="28"/>
        </w:rPr>
      </w:pPr>
      <w:bookmarkStart w:id="9" w:name="_Toc23269381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p w14:paraId="13CF5E7D" w14:textId="77777777" w:rsidR="00F22E50" w:rsidRPr="00F22E50" w:rsidRDefault="00F22E50" w:rsidP="00F22E50"/>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23"/>
        <w:gridCol w:w="2762"/>
      </w:tblGrid>
      <w:tr w:rsidR="00F22E50" w:rsidRPr="007E6725" w14:paraId="67C8AD44" w14:textId="77777777" w:rsidTr="003B1CD4">
        <w:trPr>
          <w:trHeight w:val="641"/>
        </w:trPr>
        <w:tc>
          <w:tcPr>
            <w:tcW w:w="4080" w:type="pct"/>
            <w:shd w:val="clear" w:color="auto" w:fill="auto"/>
            <w:vAlign w:val="center"/>
            <w:hideMark/>
          </w:tcPr>
          <w:p w14:paraId="43ADAAAD" w14:textId="77777777" w:rsidR="00F22E50" w:rsidRPr="007E6725" w:rsidRDefault="00F22E50" w:rsidP="003B1CD4">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78797D4B" w14:textId="77777777" w:rsidR="00F22E50" w:rsidRPr="007E6725" w:rsidRDefault="00F22E50" w:rsidP="003B1CD4">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F22E50" w:rsidRPr="007E6725" w14:paraId="3C98AA14" w14:textId="77777777" w:rsidTr="003B1CD4">
        <w:trPr>
          <w:trHeight w:val="354"/>
        </w:trPr>
        <w:tc>
          <w:tcPr>
            <w:tcW w:w="4080" w:type="pct"/>
            <w:shd w:val="clear" w:color="auto" w:fill="auto"/>
            <w:vAlign w:val="center"/>
          </w:tcPr>
          <w:p w14:paraId="18ABEFD5" w14:textId="77777777" w:rsidR="00F22E50" w:rsidRPr="00F22E50" w:rsidRDefault="00F22E50" w:rsidP="003B1CD4">
            <w:pPr>
              <w:rPr>
                <w:rFonts w:ascii="Times New Roman" w:hAnsi="Times New Roman" w:cs="Times New Roman"/>
                <w:lang w:bidi="ru-RU"/>
              </w:rPr>
            </w:pPr>
            <w:r w:rsidRPr="00F22E50">
              <w:rPr>
                <w:rFonts w:ascii="Times New Roman" w:hAnsi="Times New Roman" w:cs="Times New Roman"/>
                <w:sz w:val="24"/>
                <w:szCs w:val="24"/>
              </w:rPr>
              <w:t xml:space="preserve">Тедеев, А. А.  Налоговое право России : учебник для вузов / А. А. Тедеев, В. А. Парыгина. — 10-е изд., перераб. и доп. — Москва : Издательство Юрайт, 2026. — 397 с. — (Высшее образование). — </w:t>
            </w:r>
            <w:r w:rsidRPr="007E6725">
              <w:rPr>
                <w:rFonts w:ascii="Times New Roman" w:hAnsi="Times New Roman" w:cs="Times New Roman"/>
                <w:sz w:val="24"/>
                <w:szCs w:val="24"/>
                <w:lang w:val="en-US"/>
              </w:rPr>
              <w:t>ISBN</w:t>
            </w:r>
            <w:r w:rsidRPr="00F22E50">
              <w:rPr>
                <w:rFonts w:ascii="Times New Roman" w:hAnsi="Times New Roman" w:cs="Times New Roman"/>
                <w:sz w:val="24"/>
                <w:szCs w:val="24"/>
              </w:rPr>
              <w:t xml:space="preserve"> 978-5-534-20608-1.</w:t>
            </w:r>
          </w:p>
        </w:tc>
        <w:tc>
          <w:tcPr>
            <w:tcW w:w="920" w:type="pct"/>
            <w:shd w:val="clear" w:color="auto" w:fill="auto"/>
            <w:vAlign w:val="center"/>
            <w:hideMark/>
          </w:tcPr>
          <w:p w14:paraId="171C87F6" w14:textId="77777777" w:rsidR="00F22E50" w:rsidRPr="007E6725" w:rsidRDefault="00F22E50" w:rsidP="003B1CD4">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Pr>
                  <w:color w:val="00008B"/>
                  <w:u w:val="single"/>
                </w:rPr>
                <w:t xml:space="preserve">https://urait.ru/bcode/582740 </w:t>
              </w:r>
            </w:hyperlink>
          </w:p>
        </w:tc>
      </w:tr>
      <w:tr w:rsidR="00F22E50" w:rsidRPr="007E6725" w14:paraId="44948D58" w14:textId="77777777" w:rsidTr="003B1CD4">
        <w:trPr>
          <w:trHeight w:val="354"/>
        </w:trPr>
        <w:tc>
          <w:tcPr>
            <w:tcW w:w="4080" w:type="pct"/>
            <w:shd w:val="clear" w:color="auto" w:fill="auto"/>
            <w:vAlign w:val="center"/>
          </w:tcPr>
          <w:p w14:paraId="47C1A692" w14:textId="77777777" w:rsidR="00F22E50" w:rsidRPr="00F22E50" w:rsidRDefault="00F22E50" w:rsidP="003B1CD4">
            <w:pPr>
              <w:rPr>
                <w:rFonts w:ascii="Times New Roman" w:hAnsi="Times New Roman" w:cs="Times New Roman"/>
                <w:lang w:bidi="ru-RU"/>
              </w:rPr>
            </w:pPr>
            <w:r w:rsidRPr="00F22E50">
              <w:rPr>
                <w:rFonts w:ascii="Times New Roman" w:hAnsi="Times New Roman" w:cs="Times New Roman"/>
                <w:sz w:val="24"/>
                <w:szCs w:val="24"/>
              </w:rPr>
              <w:lastRenderedPageBreak/>
              <w:t xml:space="preserve">Крохина, Ю. А.  Налоговое право : учебник для вузов / Ю. А. Крохина. — 11-е изд., перераб. и доп. — Москва : Издательство Юрайт, 2026. — 376 с. — (Высшее образование). — </w:t>
            </w:r>
            <w:r w:rsidRPr="007E6725">
              <w:rPr>
                <w:rFonts w:ascii="Times New Roman" w:hAnsi="Times New Roman" w:cs="Times New Roman"/>
                <w:sz w:val="24"/>
                <w:szCs w:val="24"/>
                <w:lang w:val="en-US"/>
              </w:rPr>
              <w:t>ISBN</w:t>
            </w:r>
            <w:r w:rsidRPr="00F22E50">
              <w:rPr>
                <w:rFonts w:ascii="Times New Roman" w:hAnsi="Times New Roman" w:cs="Times New Roman"/>
                <w:sz w:val="24"/>
                <w:szCs w:val="24"/>
              </w:rPr>
              <w:t xml:space="preserve"> 978-5-534-21980-7.</w:t>
            </w:r>
          </w:p>
        </w:tc>
        <w:tc>
          <w:tcPr>
            <w:tcW w:w="920" w:type="pct"/>
            <w:shd w:val="clear" w:color="auto" w:fill="auto"/>
            <w:vAlign w:val="center"/>
            <w:hideMark/>
          </w:tcPr>
          <w:p w14:paraId="6B1FF8B1" w14:textId="77777777" w:rsidR="00F22E50" w:rsidRPr="007E6725" w:rsidRDefault="00F22E50" w:rsidP="003B1CD4">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Pr>
                  <w:color w:val="00008B"/>
                  <w:u w:val="single"/>
                </w:rPr>
                <w:t>https://urait.ru/bcode/599118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3269381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EC009F6" w14:textId="77777777" w:rsidTr="007B550D">
        <w:tc>
          <w:tcPr>
            <w:tcW w:w="9345" w:type="dxa"/>
          </w:tcPr>
          <w:p w14:paraId="171293E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F4FF3B7" w14:textId="77777777" w:rsidTr="007B550D">
        <w:tc>
          <w:tcPr>
            <w:tcW w:w="9345" w:type="dxa"/>
          </w:tcPr>
          <w:p w14:paraId="684AF96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5654F922" w14:textId="77777777" w:rsidTr="007B550D">
        <w:tc>
          <w:tcPr>
            <w:tcW w:w="9345" w:type="dxa"/>
          </w:tcPr>
          <w:p w14:paraId="5945658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КонсультантПлюс</w:t>
            </w:r>
          </w:p>
        </w:tc>
      </w:tr>
      <w:tr w:rsidR="007B550D" w:rsidRPr="007E6725" w14:paraId="663CB288" w14:textId="77777777" w:rsidTr="007B550D">
        <w:tc>
          <w:tcPr>
            <w:tcW w:w="9345" w:type="dxa"/>
          </w:tcPr>
          <w:p w14:paraId="14E6685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A273A99" w14:textId="77777777" w:rsidTr="007B550D">
        <w:tc>
          <w:tcPr>
            <w:tcW w:w="9345" w:type="dxa"/>
          </w:tcPr>
          <w:p w14:paraId="4199F3B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CBD64F7" w14:textId="77777777" w:rsidTr="007B550D">
        <w:tc>
          <w:tcPr>
            <w:tcW w:w="9345" w:type="dxa"/>
          </w:tcPr>
          <w:p w14:paraId="5DFFE33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3269381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3"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4"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FF2316" w:rsidP="0091168E">
            <w:pPr>
              <w:spacing w:after="0" w:line="240" w:lineRule="auto"/>
              <w:rPr>
                <w:rFonts w:ascii="Times New Roman" w:hAnsi="Times New Roman" w:cs="Times New Roman"/>
                <w:color w:val="000000"/>
                <w:sz w:val="25"/>
                <w:szCs w:val="25"/>
              </w:rPr>
            </w:pPr>
            <w:hyperlink r:id="rId15"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6"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3269381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 xml:space="preserve">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w:t>
      </w:r>
      <w:r w:rsidRPr="007E6725">
        <w:rPr>
          <w:sz w:val="28"/>
          <w:szCs w:val="28"/>
        </w:rPr>
        <w:lastRenderedPageBreak/>
        <w:t>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044C64" w14:paraId="53424330" w14:textId="77777777" w:rsidTr="008416EB">
        <w:tc>
          <w:tcPr>
            <w:tcW w:w="7797" w:type="dxa"/>
            <w:shd w:val="clear" w:color="auto" w:fill="auto"/>
          </w:tcPr>
          <w:p w14:paraId="2986F8BC" w14:textId="77777777" w:rsidR="002C735C" w:rsidRPr="00044C64" w:rsidRDefault="002C735C" w:rsidP="002C735C">
            <w:pPr>
              <w:pStyle w:val="Style214"/>
              <w:ind w:firstLine="0"/>
              <w:jc w:val="center"/>
              <w:rPr>
                <w:b/>
                <w:sz w:val="22"/>
                <w:szCs w:val="22"/>
              </w:rPr>
            </w:pPr>
            <w:r w:rsidRPr="00044C64">
              <w:rPr>
                <w:b/>
                <w:sz w:val="22"/>
                <w:szCs w:val="22"/>
              </w:rPr>
              <w:t>Наименование учебных аудиторий, перечень</w:t>
            </w:r>
          </w:p>
        </w:tc>
        <w:tc>
          <w:tcPr>
            <w:tcW w:w="2262" w:type="dxa"/>
            <w:shd w:val="clear" w:color="auto" w:fill="auto"/>
          </w:tcPr>
          <w:p w14:paraId="3A00FEF8" w14:textId="77777777" w:rsidR="002C735C" w:rsidRPr="00044C64" w:rsidRDefault="002C735C" w:rsidP="002C735C">
            <w:pPr>
              <w:pStyle w:val="Style214"/>
              <w:ind w:firstLine="0"/>
              <w:jc w:val="center"/>
              <w:rPr>
                <w:b/>
                <w:sz w:val="22"/>
                <w:szCs w:val="22"/>
              </w:rPr>
            </w:pPr>
            <w:r w:rsidRPr="00044C64">
              <w:rPr>
                <w:b/>
                <w:sz w:val="22"/>
                <w:szCs w:val="22"/>
              </w:rPr>
              <w:t>Адрес (местоположение) учебных аудиторий</w:t>
            </w:r>
          </w:p>
        </w:tc>
      </w:tr>
      <w:tr w:rsidR="002C735C" w:rsidRPr="00044C64" w14:paraId="3B643305" w14:textId="77777777" w:rsidTr="008416EB">
        <w:tc>
          <w:tcPr>
            <w:tcW w:w="7797" w:type="dxa"/>
            <w:shd w:val="clear" w:color="auto" w:fill="auto"/>
          </w:tcPr>
          <w:p w14:paraId="30187323" w14:textId="51649087" w:rsidR="002C735C" w:rsidRPr="00044C64" w:rsidRDefault="00B43524" w:rsidP="002718E2">
            <w:pPr>
              <w:pStyle w:val="Style214"/>
              <w:ind w:firstLine="0"/>
              <w:rPr>
                <w:sz w:val="22"/>
                <w:szCs w:val="22"/>
              </w:rPr>
            </w:pPr>
            <w:r w:rsidRPr="00044C64">
              <w:rPr>
                <w:sz w:val="22"/>
                <w:szCs w:val="22"/>
              </w:rPr>
              <w:t>Ауд. 208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40 посадочных мест; рабочее место преподавателя, доска меловая  - 1 шт., стол - 1шт., тумба - 1шт., трибуна - 1шт.Компьютер в с</w:t>
            </w:r>
            <w:r w:rsidRPr="00044C64">
              <w:rPr>
                <w:sz w:val="22"/>
                <w:szCs w:val="22"/>
                <w:lang w:val="en-US"/>
              </w:rPr>
              <w:t>Intel</w:t>
            </w:r>
            <w:r w:rsidRPr="00044C64">
              <w:rPr>
                <w:sz w:val="22"/>
                <w:szCs w:val="22"/>
              </w:rPr>
              <w:t xml:space="preserve"> </w:t>
            </w:r>
            <w:r w:rsidRPr="00044C64">
              <w:rPr>
                <w:sz w:val="22"/>
                <w:szCs w:val="22"/>
                <w:lang w:val="en-US"/>
              </w:rPr>
              <w:t>i</w:t>
            </w:r>
            <w:r w:rsidRPr="00044C64">
              <w:rPr>
                <w:sz w:val="22"/>
                <w:szCs w:val="22"/>
              </w:rPr>
              <w:t>3 2100 3.3/4</w:t>
            </w:r>
            <w:r w:rsidRPr="00044C64">
              <w:rPr>
                <w:sz w:val="22"/>
                <w:szCs w:val="22"/>
                <w:lang w:val="en-US"/>
              </w:rPr>
              <w:t>Gb</w:t>
            </w:r>
            <w:r w:rsidRPr="00044C64">
              <w:rPr>
                <w:sz w:val="22"/>
                <w:szCs w:val="22"/>
              </w:rPr>
              <w:t>/500</w:t>
            </w:r>
            <w:r w:rsidRPr="00044C64">
              <w:rPr>
                <w:sz w:val="22"/>
                <w:szCs w:val="22"/>
                <w:lang w:val="en-US"/>
              </w:rPr>
              <w:t>Gb</w:t>
            </w:r>
            <w:r w:rsidRPr="00044C64">
              <w:rPr>
                <w:sz w:val="22"/>
                <w:szCs w:val="22"/>
              </w:rPr>
              <w:t>/</w:t>
            </w:r>
            <w:r w:rsidRPr="00044C64">
              <w:rPr>
                <w:sz w:val="22"/>
                <w:szCs w:val="22"/>
                <w:lang w:val="en-US"/>
              </w:rPr>
              <w:t>AserV</w:t>
            </w:r>
            <w:r w:rsidRPr="00044C64">
              <w:rPr>
                <w:sz w:val="22"/>
                <w:szCs w:val="22"/>
              </w:rPr>
              <w:t xml:space="preserve">193 - 1 шт.,  Мультимедийный проектор </w:t>
            </w:r>
            <w:r w:rsidRPr="00044C64">
              <w:rPr>
                <w:sz w:val="22"/>
                <w:szCs w:val="22"/>
                <w:lang w:val="en-US"/>
              </w:rPr>
              <w:t>NEC</w:t>
            </w:r>
            <w:r w:rsidRPr="00044C64">
              <w:rPr>
                <w:sz w:val="22"/>
                <w:szCs w:val="22"/>
              </w:rPr>
              <w:t xml:space="preserve"> </w:t>
            </w:r>
            <w:r w:rsidRPr="00044C64">
              <w:rPr>
                <w:sz w:val="22"/>
                <w:szCs w:val="22"/>
                <w:lang w:val="en-US"/>
              </w:rPr>
              <w:t>ME</w:t>
            </w:r>
            <w:r w:rsidRPr="00044C64">
              <w:rPr>
                <w:sz w:val="22"/>
                <w:szCs w:val="22"/>
              </w:rPr>
              <w:t>402</w:t>
            </w:r>
            <w:r w:rsidRPr="00044C64">
              <w:rPr>
                <w:sz w:val="22"/>
                <w:szCs w:val="22"/>
                <w:lang w:val="en-US"/>
              </w:rPr>
              <w:t>X</w:t>
            </w:r>
            <w:r w:rsidRPr="00044C6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44C64" w:rsidRDefault="00B43524" w:rsidP="002718E2">
            <w:pPr>
              <w:pStyle w:val="Style214"/>
              <w:ind w:firstLine="0"/>
              <w:rPr>
                <w:sz w:val="22"/>
                <w:szCs w:val="22"/>
              </w:rPr>
            </w:pPr>
            <w:r w:rsidRPr="00044C64">
              <w:rPr>
                <w:sz w:val="22"/>
                <w:szCs w:val="22"/>
              </w:rPr>
              <w:t xml:space="preserve">190005, г. Санкт-Петербург, 7-я Красноармейская ул., д. 6-8, пом. 21Н, 26Н, 15Н-19Н, Л-3, Л-4, Л-5, лит. </w:t>
            </w:r>
            <w:r w:rsidRPr="00044C64">
              <w:rPr>
                <w:sz w:val="22"/>
                <w:szCs w:val="22"/>
                <w:lang w:val="en-US"/>
              </w:rPr>
              <w:t>А</w:t>
            </w:r>
          </w:p>
        </w:tc>
      </w:tr>
      <w:tr w:rsidR="002C735C" w:rsidRPr="00044C64" w14:paraId="367D7936" w14:textId="77777777" w:rsidTr="008416EB">
        <w:tc>
          <w:tcPr>
            <w:tcW w:w="7797" w:type="dxa"/>
            <w:shd w:val="clear" w:color="auto" w:fill="auto"/>
          </w:tcPr>
          <w:p w14:paraId="48D72E59" w14:textId="77777777" w:rsidR="002C735C" w:rsidRPr="00044C64" w:rsidRDefault="00B43524" w:rsidP="002718E2">
            <w:pPr>
              <w:pStyle w:val="Style214"/>
              <w:ind w:firstLine="0"/>
              <w:rPr>
                <w:sz w:val="22"/>
                <w:szCs w:val="22"/>
              </w:rPr>
            </w:pPr>
            <w:r w:rsidRPr="00044C64">
              <w:rPr>
                <w:sz w:val="22"/>
                <w:szCs w:val="22"/>
              </w:rPr>
              <w:t xml:space="preserve">Ауд. 502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- 1 шт., стол - 1шт., трибуна - 1шт. Переносной мультимедийный комплект: Ноутбук </w:t>
            </w:r>
            <w:r w:rsidRPr="00044C64">
              <w:rPr>
                <w:sz w:val="22"/>
                <w:szCs w:val="22"/>
                <w:lang w:val="en-US"/>
              </w:rPr>
              <w:t>HP</w:t>
            </w:r>
            <w:r w:rsidRPr="00044C64">
              <w:rPr>
                <w:sz w:val="22"/>
                <w:szCs w:val="22"/>
              </w:rPr>
              <w:t xml:space="preserve"> 250 </w:t>
            </w:r>
            <w:r w:rsidRPr="00044C64">
              <w:rPr>
                <w:sz w:val="22"/>
                <w:szCs w:val="22"/>
                <w:lang w:val="en-US"/>
              </w:rPr>
              <w:t>G</w:t>
            </w:r>
            <w:r w:rsidRPr="00044C64">
              <w:rPr>
                <w:sz w:val="22"/>
                <w:szCs w:val="22"/>
              </w:rPr>
              <w:t>6 1</w:t>
            </w:r>
            <w:r w:rsidRPr="00044C64">
              <w:rPr>
                <w:sz w:val="22"/>
                <w:szCs w:val="22"/>
                <w:lang w:val="en-US"/>
              </w:rPr>
              <w:t>WY</w:t>
            </w:r>
            <w:r w:rsidRPr="00044C64">
              <w:rPr>
                <w:sz w:val="22"/>
                <w:szCs w:val="22"/>
              </w:rPr>
              <w:t>58</w:t>
            </w:r>
            <w:r w:rsidRPr="00044C64">
              <w:rPr>
                <w:sz w:val="22"/>
                <w:szCs w:val="22"/>
                <w:lang w:val="en-US"/>
              </w:rPr>
              <w:t>EA</w:t>
            </w:r>
            <w:r w:rsidRPr="00044C64">
              <w:rPr>
                <w:sz w:val="22"/>
                <w:szCs w:val="22"/>
              </w:rPr>
              <w:t xml:space="preserve">, Мультимедийный проектор </w:t>
            </w:r>
            <w:r w:rsidRPr="00044C64">
              <w:rPr>
                <w:sz w:val="22"/>
                <w:szCs w:val="22"/>
                <w:lang w:val="en-US"/>
              </w:rPr>
              <w:t>LG</w:t>
            </w:r>
            <w:r w:rsidRPr="00044C64">
              <w:rPr>
                <w:sz w:val="22"/>
                <w:szCs w:val="22"/>
              </w:rPr>
              <w:t xml:space="preserve"> </w:t>
            </w:r>
            <w:r w:rsidRPr="00044C64">
              <w:rPr>
                <w:sz w:val="22"/>
                <w:szCs w:val="22"/>
                <w:lang w:val="en-US"/>
              </w:rPr>
              <w:t>PF</w:t>
            </w:r>
            <w:r w:rsidRPr="00044C64">
              <w:rPr>
                <w:sz w:val="22"/>
                <w:szCs w:val="22"/>
              </w:rPr>
              <w:t>1500</w:t>
            </w:r>
            <w:r w:rsidRPr="00044C64">
              <w:rPr>
                <w:sz w:val="22"/>
                <w:szCs w:val="22"/>
                <w:lang w:val="en-US"/>
              </w:rPr>
              <w:t>G</w:t>
            </w:r>
            <w:r w:rsidRPr="00044C6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219E547" w14:textId="77777777" w:rsidR="002C735C" w:rsidRPr="00044C64" w:rsidRDefault="00B43524" w:rsidP="002718E2">
            <w:pPr>
              <w:pStyle w:val="Style214"/>
              <w:ind w:firstLine="0"/>
              <w:rPr>
                <w:sz w:val="22"/>
                <w:szCs w:val="22"/>
              </w:rPr>
            </w:pPr>
            <w:r w:rsidRPr="00044C64">
              <w:rPr>
                <w:sz w:val="22"/>
                <w:szCs w:val="22"/>
              </w:rPr>
              <w:t xml:space="preserve">190005, г. Санкт-Петербург, 7-я Красноармейская ул., д. 6-8, пом. 21Н, 26Н, 15Н-19Н, Л-3, Л-4, Л-5, лит. </w:t>
            </w:r>
            <w:r w:rsidRPr="00044C64">
              <w:rPr>
                <w:sz w:val="22"/>
                <w:szCs w:val="22"/>
                <w:lang w:val="en-US"/>
              </w:rPr>
              <w:t>А</w:t>
            </w:r>
          </w:p>
        </w:tc>
      </w:tr>
      <w:tr w:rsidR="002C735C" w:rsidRPr="00044C64" w14:paraId="727D4C7C" w14:textId="77777777" w:rsidTr="008416EB">
        <w:tc>
          <w:tcPr>
            <w:tcW w:w="7797" w:type="dxa"/>
            <w:shd w:val="clear" w:color="auto" w:fill="auto"/>
          </w:tcPr>
          <w:p w14:paraId="069FCABD" w14:textId="77777777" w:rsidR="002C735C" w:rsidRPr="00044C64" w:rsidRDefault="00B43524" w:rsidP="002718E2">
            <w:pPr>
              <w:pStyle w:val="Style214"/>
              <w:ind w:firstLine="0"/>
              <w:rPr>
                <w:sz w:val="22"/>
                <w:szCs w:val="22"/>
              </w:rPr>
            </w:pPr>
            <w:r w:rsidRPr="00044C64">
              <w:rPr>
                <w:sz w:val="22"/>
                <w:szCs w:val="22"/>
              </w:rPr>
              <w:t xml:space="preserve">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32 посадочных мест, рабочее место преподавателя, доска меловая - 1 шт., стол - 1шт., тумба - 1шт., трибуна - 1шт., Компьютер </w:t>
            </w:r>
            <w:r w:rsidRPr="00044C64">
              <w:rPr>
                <w:sz w:val="22"/>
                <w:szCs w:val="22"/>
                <w:lang w:val="en-US"/>
              </w:rPr>
              <w:t>i</w:t>
            </w:r>
            <w:r w:rsidRPr="00044C64">
              <w:rPr>
                <w:sz w:val="22"/>
                <w:szCs w:val="22"/>
              </w:rPr>
              <w:t>3 2100 3.1/2</w:t>
            </w:r>
            <w:r w:rsidRPr="00044C64">
              <w:rPr>
                <w:sz w:val="22"/>
                <w:szCs w:val="22"/>
                <w:lang w:val="en-US"/>
              </w:rPr>
              <w:t>Gb</w:t>
            </w:r>
            <w:r w:rsidRPr="00044C64">
              <w:rPr>
                <w:sz w:val="22"/>
                <w:szCs w:val="22"/>
              </w:rPr>
              <w:t>/500</w:t>
            </w:r>
            <w:r w:rsidRPr="00044C64">
              <w:rPr>
                <w:sz w:val="22"/>
                <w:szCs w:val="22"/>
                <w:lang w:val="en-US"/>
              </w:rPr>
              <w:t>Gb</w:t>
            </w:r>
            <w:r w:rsidRPr="00044C64">
              <w:rPr>
                <w:sz w:val="22"/>
                <w:szCs w:val="22"/>
              </w:rPr>
              <w:t>/</w:t>
            </w:r>
            <w:r w:rsidRPr="00044C64">
              <w:rPr>
                <w:sz w:val="22"/>
                <w:szCs w:val="22"/>
                <w:lang w:val="en-US"/>
              </w:rPr>
              <w:t>Samsung</w:t>
            </w:r>
            <w:r w:rsidRPr="00044C64">
              <w:rPr>
                <w:sz w:val="22"/>
                <w:szCs w:val="22"/>
              </w:rPr>
              <w:t xml:space="preserve"> Е1920 </w:t>
            </w:r>
            <w:r w:rsidRPr="00044C64">
              <w:rPr>
                <w:sz w:val="22"/>
                <w:szCs w:val="22"/>
                <w:lang w:val="en-US"/>
              </w:rPr>
              <w:t>NR</w:t>
            </w:r>
            <w:r w:rsidRPr="00044C64">
              <w:rPr>
                <w:sz w:val="22"/>
                <w:szCs w:val="22"/>
              </w:rPr>
              <w:t xml:space="preserve"> - 1 шт., Проектор </w:t>
            </w:r>
            <w:r w:rsidRPr="00044C64">
              <w:rPr>
                <w:sz w:val="22"/>
                <w:szCs w:val="22"/>
                <w:lang w:val="en-US"/>
              </w:rPr>
              <w:t>NEC</w:t>
            </w:r>
            <w:r w:rsidRPr="00044C64">
              <w:rPr>
                <w:sz w:val="22"/>
                <w:szCs w:val="22"/>
              </w:rPr>
              <w:t xml:space="preserve"> М350 Х - 1 шт., Микшер усилитель </w:t>
            </w:r>
            <w:r w:rsidRPr="00044C64">
              <w:rPr>
                <w:sz w:val="22"/>
                <w:szCs w:val="22"/>
                <w:lang w:val="en-US"/>
              </w:rPr>
              <w:t>Jedia</w:t>
            </w:r>
            <w:r w:rsidRPr="00044C64">
              <w:rPr>
                <w:sz w:val="22"/>
                <w:szCs w:val="22"/>
              </w:rPr>
              <w:t xml:space="preserve"> </w:t>
            </w:r>
            <w:r w:rsidRPr="00044C64">
              <w:rPr>
                <w:sz w:val="22"/>
                <w:szCs w:val="22"/>
                <w:lang w:val="en-US"/>
              </w:rPr>
              <w:t>TA</w:t>
            </w:r>
            <w:r w:rsidRPr="00044C64">
              <w:rPr>
                <w:sz w:val="22"/>
                <w:szCs w:val="22"/>
              </w:rPr>
              <w:t xml:space="preserve">-1120 - 1 шт., Экран с электро-приводом </w:t>
            </w:r>
            <w:r w:rsidRPr="00044C64">
              <w:rPr>
                <w:sz w:val="22"/>
                <w:szCs w:val="22"/>
                <w:lang w:val="en-US"/>
              </w:rPr>
              <w:t>Draper</w:t>
            </w:r>
            <w:r w:rsidRPr="00044C64">
              <w:rPr>
                <w:sz w:val="22"/>
                <w:szCs w:val="22"/>
              </w:rPr>
              <w:t xml:space="preserve"> </w:t>
            </w:r>
            <w:r w:rsidRPr="00044C64">
              <w:rPr>
                <w:sz w:val="22"/>
                <w:szCs w:val="22"/>
                <w:lang w:val="en-US"/>
              </w:rPr>
              <w:t>Baronet</w:t>
            </w:r>
            <w:r w:rsidRPr="00044C64">
              <w:rPr>
                <w:sz w:val="22"/>
                <w:szCs w:val="22"/>
              </w:rPr>
              <w:t xml:space="preserve"> 138х180 см - 1 шт., Акустическая система </w:t>
            </w:r>
            <w:r w:rsidRPr="00044C64">
              <w:rPr>
                <w:sz w:val="22"/>
                <w:szCs w:val="22"/>
                <w:lang w:val="en-US"/>
              </w:rPr>
              <w:t>Hi</w:t>
            </w:r>
            <w:r w:rsidRPr="00044C64">
              <w:rPr>
                <w:sz w:val="22"/>
                <w:szCs w:val="22"/>
              </w:rPr>
              <w:t>-</w:t>
            </w:r>
            <w:r w:rsidRPr="00044C64">
              <w:rPr>
                <w:sz w:val="22"/>
                <w:szCs w:val="22"/>
                <w:lang w:val="en-US"/>
              </w:rPr>
              <w:t>Fi</w:t>
            </w:r>
            <w:r w:rsidRPr="00044C64">
              <w:rPr>
                <w:sz w:val="22"/>
                <w:szCs w:val="22"/>
              </w:rPr>
              <w:t xml:space="preserve"> </w:t>
            </w:r>
            <w:r w:rsidRPr="00044C64">
              <w:rPr>
                <w:sz w:val="22"/>
                <w:szCs w:val="22"/>
                <w:lang w:val="en-US"/>
              </w:rPr>
              <w:t>PRO</w:t>
            </w:r>
            <w:r w:rsidRPr="00044C64">
              <w:rPr>
                <w:sz w:val="22"/>
                <w:szCs w:val="22"/>
              </w:rPr>
              <w:t xml:space="preserve"> </w:t>
            </w:r>
            <w:r w:rsidRPr="00044C64">
              <w:rPr>
                <w:sz w:val="22"/>
                <w:szCs w:val="22"/>
                <w:lang w:val="en-US"/>
              </w:rPr>
              <w:t>MASK</w:t>
            </w:r>
            <w:r w:rsidRPr="00044C64">
              <w:rPr>
                <w:sz w:val="22"/>
                <w:szCs w:val="22"/>
              </w:rPr>
              <w:t>6</w:t>
            </w:r>
            <w:r w:rsidRPr="00044C64">
              <w:rPr>
                <w:sz w:val="22"/>
                <w:szCs w:val="22"/>
                <w:lang w:val="en-US"/>
              </w:rPr>
              <w:t>T</w:t>
            </w:r>
            <w:r w:rsidRPr="00044C64">
              <w:rPr>
                <w:sz w:val="22"/>
                <w:szCs w:val="22"/>
              </w:rPr>
              <w:t>-</w:t>
            </w:r>
            <w:r w:rsidRPr="00044C64">
              <w:rPr>
                <w:sz w:val="22"/>
                <w:szCs w:val="22"/>
                <w:lang w:val="en-US"/>
              </w:rPr>
              <w:t>W</w:t>
            </w:r>
            <w:r w:rsidRPr="00044C64">
              <w:rPr>
                <w:sz w:val="22"/>
                <w:szCs w:val="22"/>
              </w:rPr>
              <w:t xml:space="preserve"> - 1 шт., Проектор </w:t>
            </w:r>
            <w:r w:rsidRPr="00044C64">
              <w:rPr>
                <w:sz w:val="22"/>
                <w:szCs w:val="22"/>
                <w:lang w:val="en-US"/>
              </w:rPr>
              <w:t>NEC</w:t>
            </w:r>
            <w:r w:rsidRPr="00044C64">
              <w:rPr>
                <w:sz w:val="22"/>
                <w:szCs w:val="22"/>
              </w:rPr>
              <w:t xml:space="preserve"> М350 Х - 1 шт.  Наборы демонстрационного оборудования и учебно-наглядных пособий: </w:t>
            </w:r>
            <w:r w:rsidRPr="00044C64">
              <w:rPr>
                <w:sz w:val="22"/>
                <w:szCs w:val="22"/>
              </w:rPr>
              <w:lastRenderedPageBreak/>
              <w:t>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B316F08" w14:textId="77777777" w:rsidR="002C735C" w:rsidRPr="00044C64" w:rsidRDefault="00B43524" w:rsidP="002718E2">
            <w:pPr>
              <w:pStyle w:val="Style214"/>
              <w:ind w:firstLine="0"/>
              <w:rPr>
                <w:sz w:val="22"/>
                <w:szCs w:val="22"/>
              </w:rPr>
            </w:pPr>
            <w:r w:rsidRPr="00044C64">
              <w:rPr>
                <w:sz w:val="22"/>
                <w:szCs w:val="22"/>
              </w:rPr>
              <w:lastRenderedPageBreak/>
              <w:t xml:space="preserve">190005, г. Санкт-Петербург, 7-я Красноармейская ул., д. 6-8, пом. 21Н, 26Н, 15Н-19Н, Л-3, Л-4, Л-5, лит. </w:t>
            </w:r>
            <w:r w:rsidRPr="00044C64">
              <w:rPr>
                <w:sz w:val="22"/>
                <w:szCs w:val="22"/>
                <w:lang w:val="en-US"/>
              </w:rPr>
              <w:t>А</w:t>
            </w:r>
          </w:p>
        </w:tc>
      </w:tr>
      <w:tr w:rsidR="002C735C" w:rsidRPr="00044C64" w14:paraId="1440AE18" w14:textId="77777777" w:rsidTr="008416EB">
        <w:tc>
          <w:tcPr>
            <w:tcW w:w="7797" w:type="dxa"/>
            <w:shd w:val="clear" w:color="auto" w:fill="auto"/>
          </w:tcPr>
          <w:p w14:paraId="4BEC354B" w14:textId="77777777" w:rsidR="002C735C" w:rsidRPr="00044C64" w:rsidRDefault="00B43524" w:rsidP="002718E2">
            <w:pPr>
              <w:pStyle w:val="Style214"/>
              <w:ind w:firstLine="0"/>
              <w:rPr>
                <w:sz w:val="22"/>
                <w:szCs w:val="22"/>
              </w:rPr>
            </w:pPr>
            <w:r w:rsidRPr="00044C64">
              <w:rPr>
                <w:sz w:val="22"/>
                <w:szCs w:val="22"/>
              </w:rPr>
              <w:t xml:space="preserve">Ауд. 504А  Лаборатория "Лабораторный комплекс". Специализированная  мебель и оборудование: Учебная мебель на 30 посадочных мест, рабочее место преподавателя, доска меловая - 1 шт., стол - 1шт., тумба - 1шт., трибуна - 1шт.Компьютер </w:t>
            </w:r>
            <w:r w:rsidRPr="00044C64">
              <w:rPr>
                <w:sz w:val="22"/>
                <w:szCs w:val="22"/>
                <w:lang w:val="en-US"/>
              </w:rPr>
              <w:t>Ledovo</w:t>
            </w:r>
            <w:r w:rsidRPr="00044C64">
              <w:rPr>
                <w:sz w:val="22"/>
                <w:szCs w:val="22"/>
              </w:rPr>
              <w:t>2: 4</w:t>
            </w:r>
            <w:r w:rsidRPr="00044C64">
              <w:rPr>
                <w:sz w:val="22"/>
                <w:szCs w:val="22"/>
                <w:lang w:val="en-US"/>
              </w:rPr>
              <w:t>x</w:t>
            </w:r>
            <w:r w:rsidRPr="00044C64">
              <w:rPr>
                <w:sz w:val="22"/>
                <w:szCs w:val="22"/>
              </w:rPr>
              <w:t>3.1/8</w:t>
            </w:r>
            <w:r w:rsidRPr="00044C64">
              <w:rPr>
                <w:sz w:val="22"/>
                <w:szCs w:val="22"/>
                <w:lang w:val="en-US"/>
              </w:rPr>
              <w:t>Gb</w:t>
            </w:r>
            <w:r w:rsidRPr="00044C64">
              <w:rPr>
                <w:sz w:val="22"/>
                <w:szCs w:val="22"/>
              </w:rPr>
              <w:t>/500</w:t>
            </w:r>
            <w:r w:rsidRPr="00044C64">
              <w:rPr>
                <w:sz w:val="22"/>
                <w:szCs w:val="22"/>
                <w:lang w:val="en-US"/>
              </w:rPr>
              <w:t>Gb</w:t>
            </w:r>
            <w:r w:rsidRPr="00044C64">
              <w:rPr>
                <w:sz w:val="22"/>
                <w:szCs w:val="22"/>
              </w:rPr>
              <w:t xml:space="preserve">/ </w:t>
            </w:r>
            <w:r w:rsidRPr="00044C64">
              <w:rPr>
                <w:sz w:val="22"/>
                <w:szCs w:val="22"/>
                <w:lang w:val="en-US"/>
              </w:rPr>
              <w:t>Pfilips</w:t>
            </w:r>
            <w:r w:rsidRPr="00044C64">
              <w:rPr>
                <w:sz w:val="22"/>
                <w:szCs w:val="22"/>
              </w:rPr>
              <w:t xml:space="preserve"> 23" 236</w:t>
            </w:r>
            <w:r w:rsidRPr="00044C64">
              <w:rPr>
                <w:sz w:val="22"/>
                <w:szCs w:val="22"/>
                <w:lang w:val="en-US"/>
              </w:rPr>
              <w:t>V</w:t>
            </w:r>
            <w:r w:rsidRPr="00044C64">
              <w:rPr>
                <w:sz w:val="22"/>
                <w:szCs w:val="22"/>
              </w:rPr>
              <w:t xml:space="preserve">3 - 16 шт., Интерактивная доска </w:t>
            </w:r>
            <w:r w:rsidRPr="00044C64">
              <w:rPr>
                <w:sz w:val="22"/>
                <w:szCs w:val="22"/>
                <w:lang w:val="en-US"/>
              </w:rPr>
              <w:t>Scren</w:t>
            </w:r>
            <w:r w:rsidRPr="00044C64">
              <w:rPr>
                <w:sz w:val="22"/>
                <w:szCs w:val="22"/>
              </w:rPr>
              <w:t xml:space="preserve"> </w:t>
            </w:r>
            <w:r w:rsidRPr="00044C64">
              <w:rPr>
                <w:sz w:val="22"/>
                <w:szCs w:val="22"/>
                <w:lang w:val="en-US"/>
              </w:rPr>
              <w:t>Media</w:t>
            </w:r>
            <w:r w:rsidRPr="00044C64">
              <w:rPr>
                <w:sz w:val="22"/>
                <w:szCs w:val="22"/>
              </w:rPr>
              <w:t xml:space="preserve"> </w:t>
            </w:r>
            <w:r w:rsidRPr="00044C64">
              <w:rPr>
                <w:sz w:val="22"/>
                <w:szCs w:val="22"/>
                <w:lang w:val="en-US"/>
              </w:rPr>
              <w:t>RE</w:t>
            </w:r>
            <w:r w:rsidRPr="00044C64">
              <w:rPr>
                <w:sz w:val="22"/>
                <w:szCs w:val="22"/>
              </w:rPr>
              <w:t xml:space="preserve"> 100</w:t>
            </w:r>
            <w:r w:rsidRPr="00044C64">
              <w:rPr>
                <w:sz w:val="22"/>
                <w:szCs w:val="22"/>
                <w:lang w:val="en-US"/>
              </w:rPr>
              <w:t>AW</w:t>
            </w:r>
            <w:r w:rsidRPr="00044C64">
              <w:rPr>
                <w:sz w:val="22"/>
                <w:szCs w:val="22"/>
              </w:rPr>
              <w:t xml:space="preserve"> </w:t>
            </w:r>
            <w:r w:rsidRPr="00044C64">
              <w:rPr>
                <w:sz w:val="22"/>
                <w:szCs w:val="22"/>
                <w:lang w:val="en-US"/>
              </w:rPr>
              <w:t>Dual</w:t>
            </w:r>
            <w:r w:rsidRPr="00044C6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FC56F03" w14:textId="77777777" w:rsidR="002C735C" w:rsidRPr="00044C64" w:rsidRDefault="00B43524" w:rsidP="002718E2">
            <w:pPr>
              <w:pStyle w:val="Style214"/>
              <w:ind w:firstLine="0"/>
              <w:rPr>
                <w:sz w:val="22"/>
                <w:szCs w:val="22"/>
              </w:rPr>
            </w:pPr>
            <w:r w:rsidRPr="00044C64">
              <w:rPr>
                <w:sz w:val="22"/>
                <w:szCs w:val="22"/>
              </w:rPr>
              <w:t xml:space="preserve">190005, г. Санкт-Петербург, 7-я Красноармейская ул., д. 6-8, пом. 21Н, 26Н, 15Н-19Н, Л-3, Л-4, Л-5, лит. </w:t>
            </w:r>
            <w:r w:rsidRPr="00044C64">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32693816"/>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lastRenderedPageBreak/>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3269381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w:t>
      </w:r>
      <w:r w:rsidRPr="007E6725">
        <w:rPr>
          <w:rFonts w:ascii="Times New Roman" w:hAnsi="Times New Roman" w:cs="Times New Roman"/>
          <w:sz w:val="28"/>
          <w:szCs w:val="28"/>
        </w:rPr>
        <w:lastRenderedPageBreak/>
        <w:t>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3269381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3269381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44C64" w14:paraId="41A2713E" w14:textId="77777777" w:rsidTr="00044C64">
        <w:tc>
          <w:tcPr>
            <w:tcW w:w="562" w:type="dxa"/>
          </w:tcPr>
          <w:p w14:paraId="6438075F" w14:textId="77777777" w:rsidR="00044C64" w:rsidRPr="00F22E50" w:rsidRDefault="00044C64">
            <w:pPr>
              <w:pStyle w:val="Default"/>
              <w:spacing w:after="30"/>
              <w:jc w:val="both"/>
              <w:rPr>
                <w:sz w:val="23"/>
                <w:szCs w:val="23"/>
              </w:rPr>
            </w:pPr>
          </w:p>
        </w:tc>
        <w:tc>
          <w:tcPr>
            <w:tcW w:w="8783" w:type="dxa"/>
            <w:hideMark/>
          </w:tcPr>
          <w:p w14:paraId="547FB07C" w14:textId="77777777" w:rsidR="00044C64" w:rsidRDefault="00044C64">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3269382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044C64" w:rsidRDefault="00AD3A54" w:rsidP="00801458">
            <w:pPr>
              <w:pStyle w:val="Default"/>
              <w:spacing w:after="30"/>
              <w:jc w:val="both"/>
              <w:rPr>
                <w:sz w:val="23"/>
                <w:szCs w:val="23"/>
              </w:rPr>
            </w:pPr>
            <w:r w:rsidRPr="00044C6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3269382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044C6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44C64" w14:paraId="5A1C9382" w14:textId="77777777" w:rsidTr="00801458">
        <w:tc>
          <w:tcPr>
            <w:tcW w:w="2336" w:type="dxa"/>
          </w:tcPr>
          <w:p w14:paraId="4C518DAB" w14:textId="77777777" w:rsidR="005D65A5" w:rsidRPr="00044C64" w:rsidRDefault="005D65A5" w:rsidP="00801458">
            <w:pPr>
              <w:jc w:val="center"/>
              <w:rPr>
                <w:rFonts w:ascii="Times New Roman" w:hAnsi="Times New Roman" w:cs="Times New Roman"/>
                <w:b/>
              </w:rPr>
            </w:pPr>
            <w:r w:rsidRPr="00044C64">
              <w:rPr>
                <w:rFonts w:ascii="Times New Roman" w:hAnsi="Times New Roman" w:cs="Times New Roman"/>
                <w:b/>
              </w:rPr>
              <w:t>Номер контрольной точки</w:t>
            </w:r>
          </w:p>
        </w:tc>
        <w:tc>
          <w:tcPr>
            <w:tcW w:w="2336" w:type="dxa"/>
          </w:tcPr>
          <w:p w14:paraId="6FB4C23E" w14:textId="77777777" w:rsidR="005D65A5" w:rsidRPr="00044C64" w:rsidRDefault="005D65A5" w:rsidP="00801458">
            <w:pPr>
              <w:jc w:val="center"/>
              <w:rPr>
                <w:rFonts w:ascii="Times New Roman" w:hAnsi="Times New Roman" w:cs="Times New Roman"/>
                <w:b/>
              </w:rPr>
            </w:pPr>
            <w:r w:rsidRPr="00044C64">
              <w:rPr>
                <w:rFonts w:ascii="Times New Roman" w:hAnsi="Times New Roman" w:cs="Times New Roman"/>
                <w:b/>
              </w:rPr>
              <w:t>Тип контрольной точки</w:t>
            </w:r>
          </w:p>
        </w:tc>
        <w:tc>
          <w:tcPr>
            <w:tcW w:w="2336" w:type="dxa"/>
          </w:tcPr>
          <w:p w14:paraId="048CBEA9" w14:textId="77777777" w:rsidR="005D65A5" w:rsidRPr="00044C64" w:rsidRDefault="005D65A5" w:rsidP="00801458">
            <w:pPr>
              <w:jc w:val="center"/>
              <w:rPr>
                <w:rFonts w:ascii="Times New Roman" w:hAnsi="Times New Roman" w:cs="Times New Roman"/>
                <w:b/>
              </w:rPr>
            </w:pPr>
            <w:r w:rsidRPr="00044C64">
              <w:rPr>
                <w:rFonts w:ascii="Times New Roman" w:hAnsi="Times New Roman" w:cs="Times New Roman"/>
                <w:b/>
              </w:rPr>
              <w:t>Способ проведения</w:t>
            </w:r>
          </w:p>
        </w:tc>
        <w:tc>
          <w:tcPr>
            <w:tcW w:w="2337" w:type="dxa"/>
          </w:tcPr>
          <w:p w14:paraId="267B0FDF" w14:textId="77777777" w:rsidR="005D65A5" w:rsidRPr="00044C64" w:rsidRDefault="005D65A5" w:rsidP="00801458">
            <w:pPr>
              <w:jc w:val="center"/>
              <w:rPr>
                <w:rFonts w:ascii="Times New Roman" w:hAnsi="Times New Roman" w:cs="Times New Roman"/>
                <w:b/>
              </w:rPr>
            </w:pPr>
            <w:r w:rsidRPr="00044C64">
              <w:rPr>
                <w:rFonts w:ascii="Times New Roman" w:hAnsi="Times New Roman" w:cs="Times New Roman"/>
                <w:b/>
              </w:rPr>
              <w:t>Номера тем</w:t>
            </w:r>
          </w:p>
        </w:tc>
      </w:tr>
      <w:tr w:rsidR="005D65A5" w:rsidRPr="00044C64" w14:paraId="07658034" w14:textId="77777777" w:rsidTr="00801458">
        <w:tc>
          <w:tcPr>
            <w:tcW w:w="2336" w:type="dxa"/>
          </w:tcPr>
          <w:p w14:paraId="1553D698" w14:textId="78F29BFB" w:rsidR="005D65A5" w:rsidRPr="00044C64" w:rsidRDefault="007478E0" w:rsidP="00801458">
            <w:pPr>
              <w:jc w:val="center"/>
              <w:rPr>
                <w:rFonts w:ascii="Times New Roman" w:hAnsi="Times New Roman" w:cs="Times New Roman"/>
              </w:rPr>
            </w:pPr>
            <w:r w:rsidRPr="00044C64">
              <w:rPr>
                <w:rFonts w:ascii="Times New Roman" w:hAnsi="Times New Roman" w:cs="Times New Roman"/>
                <w:lang w:val="en-US"/>
              </w:rPr>
              <w:t>1</w:t>
            </w:r>
          </w:p>
        </w:tc>
        <w:tc>
          <w:tcPr>
            <w:tcW w:w="2336" w:type="dxa"/>
          </w:tcPr>
          <w:p w14:paraId="4C5C3C11" w14:textId="5E14221A" w:rsidR="005D65A5" w:rsidRPr="00044C64" w:rsidRDefault="007478E0" w:rsidP="00801458">
            <w:pPr>
              <w:rPr>
                <w:rFonts w:ascii="Times New Roman" w:hAnsi="Times New Roman" w:cs="Times New Roman"/>
              </w:rPr>
            </w:pPr>
            <w:r w:rsidRPr="00044C64">
              <w:rPr>
                <w:rFonts w:ascii="Times New Roman" w:hAnsi="Times New Roman" w:cs="Times New Roman"/>
                <w:lang w:val="en-US"/>
              </w:rPr>
              <w:t>Контрольная работа</w:t>
            </w:r>
          </w:p>
        </w:tc>
        <w:tc>
          <w:tcPr>
            <w:tcW w:w="2336" w:type="dxa"/>
          </w:tcPr>
          <w:p w14:paraId="09793085" w14:textId="37E3864C" w:rsidR="005D65A5" w:rsidRPr="00044C64" w:rsidRDefault="007478E0" w:rsidP="00801458">
            <w:pPr>
              <w:rPr>
                <w:rFonts w:ascii="Times New Roman" w:hAnsi="Times New Roman" w:cs="Times New Roman"/>
              </w:rPr>
            </w:pPr>
            <w:r w:rsidRPr="00044C64">
              <w:rPr>
                <w:rFonts w:ascii="Times New Roman" w:hAnsi="Times New Roman" w:cs="Times New Roman"/>
                <w:lang w:val="en-US"/>
              </w:rPr>
              <w:t>письменно</w:t>
            </w:r>
          </w:p>
        </w:tc>
        <w:tc>
          <w:tcPr>
            <w:tcW w:w="2337" w:type="dxa"/>
          </w:tcPr>
          <w:p w14:paraId="094717B7" w14:textId="2660FE96" w:rsidR="005D65A5" w:rsidRPr="00044C64" w:rsidRDefault="007478E0" w:rsidP="00801458">
            <w:pPr>
              <w:rPr>
                <w:rFonts w:ascii="Times New Roman" w:hAnsi="Times New Roman" w:cs="Times New Roman"/>
              </w:rPr>
            </w:pPr>
            <w:r w:rsidRPr="00044C64">
              <w:rPr>
                <w:rFonts w:ascii="Times New Roman" w:hAnsi="Times New Roman" w:cs="Times New Roman"/>
                <w:lang w:val="en-US"/>
              </w:rPr>
              <w:t>1-5</w:t>
            </w:r>
          </w:p>
        </w:tc>
      </w:tr>
      <w:tr w:rsidR="005D65A5" w:rsidRPr="00044C64" w14:paraId="27E631A9" w14:textId="77777777" w:rsidTr="00801458">
        <w:tc>
          <w:tcPr>
            <w:tcW w:w="2336" w:type="dxa"/>
          </w:tcPr>
          <w:p w14:paraId="106386B2" w14:textId="77777777" w:rsidR="005D65A5" w:rsidRPr="00044C64" w:rsidRDefault="007478E0" w:rsidP="00801458">
            <w:pPr>
              <w:jc w:val="center"/>
              <w:rPr>
                <w:rFonts w:ascii="Times New Roman" w:hAnsi="Times New Roman" w:cs="Times New Roman"/>
              </w:rPr>
            </w:pPr>
            <w:r w:rsidRPr="00044C64">
              <w:rPr>
                <w:rFonts w:ascii="Times New Roman" w:hAnsi="Times New Roman" w:cs="Times New Roman"/>
                <w:lang w:val="en-US"/>
              </w:rPr>
              <w:t>2</w:t>
            </w:r>
          </w:p>
        </w:tc>
        <w:tc>
          <w:tcPr>
            <w:tcW w:w="2336" w:type="dxa"/>
          </w:tcPr>
          <w:p w14:paraId="55330213" w14:textId="77777777" w:rsidR="005D65A5" w:rsidRPr="00044C64" w:rsidRDefault="007478E0" w:rsidP="00801458">
            <w:pPr>
              <w:rPr>
                <w:rFonts w:ascii="Times New Roman" w:hAnsi="Times New Roman" w:cs="Times New Roman"/>
              </w:rPr>
            </w:pPr>
            <w:r w:rsidRPr="00044C64">
              <w:rPr>
                <w:rFonts w:ascii="Times New Roman" w:hAnsi="Times New Roman" w:cs="Times New Roman"/>
                <w:lang w:val="en-US"/>
              </w:rPr>
              <w:t>Контрольная работа</w:t>
            </w:r>
          </w:p>
        </w:tc>
        <w:tc>
          <w:tcPr>
            <w:tcW w:w="2336" w:type="dxa"/>
          </w:tcPr>
          <w:p w14:paraId="20E38193" w14:textId="77777777" w:rsidR="005D65A5" w:rsidRPr="00044C64" w:rsidRDefault="007478E0" w:rsidP="00801458">
            <w:pPr>
              <w:rPr>
                <w:rFonts w:ascii="Times New Roman" w:hAnsi="Times New Roman" w:cs="Times New Roman"/>
              </w:rPr>
            </w:pPr>
            <w:r w:rsidRPr="00044C64">
              <w:rPr>
                <w:rFonts w:ascii="Times New Roman" w:hAnsi="Times New Roman" w:cs="Times New Roman"/>
                <w:lang w:val="en-US"/>
              </w:rPr>
              <w:t>письменно</w:t>
            </w:r>
          </w:p>
        </w:tc>
        <w:tc>
          <w:tcPr>
            <w:tcW w:w="2337" w:type="dxa"/>
          </w:tcPr>
          <w:p w14:paraId="52EEA2BE" w14:textId="77777777" w:rsidR="005D65A5" w:rsidRPr="00044C64" w:rsidRDefault="007478E0" w:rsidP="00801458">
            <w:pPr>
              <w:rPr>
                <w:rFonts w:ascii="Times New Roman" w:hAnsi="Times New Roman" w:cs="Times New Roman"/>
              </w:rPr>
            </w:pPr>
            <w:r w:rsidRPr="00044C64">
              <w:rPr>
                <w:rFonts w:ascii="Times New Roman" w:hAnsi="Times New Roman" w:cs="Times New Roman"/>
                <w:lang w:val="en-US"/>
              </w:rPr>
              <w:t>6-10</w:t>
            </w:r>
          </w:p>
        </w:tc>
      </w:tr>
      <w:tr w:rsidR="005D65A5" w:rsidRPr="00044C64" w14:paraId="0B2C839E" w14:textId="77777777" w:rsidTr="00801458">
        <w:tc>
          <w:tcPr>
            <w:tcW w:w="2336" w:type="dxa"/>
          </w:tcPr>
          <w:p w14:paraId="450BE3AE" w14:textId="77777777" w:rsidR="005D65A5" w:rsidRPr="00044C64" w:rsidRDefault="007478E0" w:rsidP="00801458">
            <w:pPr>
              <w:jc w:val="center"/>
              <w:rPr>
                <w:rFonts w:ascii="Times New Roman" w:hAnsi="Times New Roman" w:cs="Times New Roman"/>
              </w:rPr>
            </w:pPr>
            <w:r w:rsidRPr="00044C64">
              <w:rPr>
                <w:rFonts w:ascii="Times New Roman" w:hAnsi="Times New Roman" w:cs="Times New Roman"/>
                <w:lang w:val="en-US"/>
              </w:rPr>
              <w:t>3</w:t>
            </w:r>
          </w:p>
        </w:tc>
        <w:tc>
          <w:tcPr>
            <w:tcW w:w="2336" w:type="dxa"/>
          </w:tcPr>
          <w:p w14:paraId="742A6865" w14:textId="77777777" w:rsidR="005D65A5" w:rsidRPr="00044C64" w:rsidRDefault="007478E0" w:rsidP="00801458">
            <w:pPr>
              <w:rPr>
                <w:rFonts w:ascii="Times New Roman" w:hAnsi="Times New Roman" w:cs="Times New Roman"/>
              </w:rPr>
            </w:pPr>
            <w:r w:rsidRPr="00044C64">
              <w:rPr>
                <w:rFonts w:ascii="Times New Roman" w:hAnsi="Times New Roman" w:cs="Times New Roman"/>
                <w:lang w:val="en-US"/>
              </w:rPr>
              <w:t>Текущий контроль</w:t>
            </w:r>
          </w:p>
        </w:tc>
        <w:tc>
          <w:tcPr>
            <w:tcW w:w="2336" w:type="dxa"/>
          </w:tcPr>
          <w:p w14:paraId="19F3D0E5" w14:textId="77777777" w:rsidR="005D65A5" w:rsidRPr="00044C64" w:rsidRDefault="007478E0" w:rsidP="00801458">
            <w:pPr>
              <w:rPr>
                <w:rFonts w:ascii="Times New Roman" w:hAnsi="Times New Roman" w:cs="Times New Roman"/>
              </w:rPr>
            </w:pPr>
            <w:r w:rsidRPr="00044C64">
              <w:rPr>
                <w:rFonts w:ascii="Times New Roman" w:hAnsi="Times New Roman" w:cs="Times New Roman"/>
                <w:lang w:val="en-US"/>
              </w:rPr>
              <w:t>письменно</w:t>
            </w:r>
          </w:p>
        </w:tc>
        <w:tc>
          <w:tcPr>
            <w:tcW w:w="2337" w:type="dxa"/>
          </w:tcPr>
          <w:p w14:paraId="39A1B1BD" w14:textId="77777777" w:rsidR="005D65A5" w:rsidRPr="00044C64" w:rsidRDefault="007478E0" w:rsidP="00801458">
            <w:pPr>
              <w:rPr>
                <w:rFonts w:ascii="Times New Roman" w:hAnsi="Times New Roman" w:cs="Times New Roman"/>
              </w:rPr>
            </w:pPr>
            <w:r w:rsidRPr="00044C64">
              <w:rPr>
                <w:rFonts w:ascii="Times New Roman" w:hAnsi="Times New Roman" w:cs="Times New Roman"/>
                <w:lang w:val="en-US"/>
              </w:rPr>
              <w:t>1-10</w:t>
            </w:r>
          </w:p>
        </w:tc>
      </w:tr>
    </w:tbl>
    <w:p w14:paraId="6D01A11C" w14:textId="61720847" w:rsidR="00F56264" w:rsidRPr="00044C64" w:rsidRDefault="00F56264" w:rsidP="00090AC1">
      <w:pPr>
        <w:jc w:val="both"/>
        <w:rPr>
          <w:rFonts w:ascii="Times New Roman" w:hAnsi="Times New Roman" w:cs="Times New Roman"/>
          <w:b/>
          <w:sz w:val="28"/>
          <w:szCs w:val="28"/>
        </w:rPr>
      </w:pPr>
    </w:p>
    <w:p w14:paraId="1E7CF20C" w14:textId="77777777" w:rsidR="00C23E7F" w:rsidRPr="00044C64" w:rsidRDefault="00C23E7F" w:rsidP="00C23E7F">
      <w:pPr>
        <w:pStyle w:val="2"/>
        <w:jc w:val="center"/>
        <w:rPr>
          <w:rFonts w:ascii="Times New Roman" w:hAnsi="Times New Roman" w:cs="Times New Roman"/>
          <w:b/>
          <w:color w:val="auto"/>
          <w:sz w:val="28"/>
          <w:szCs w:val="28"/>
        </w:rPr>
      </w:pPr>
      <w:bookmarkStart w:id="23" w:name="_Toc82187017"/>
      <w:bookmarkStart w:id="24" w:name="_Toc232693822"/>
      <w:r w:rsidRPr="00044C64">
        <w:rPr>
          <w:rFonts w:ascii="Times New Roman" w:hAnsi="Times New Roman" w:cs="Times New Roman"/>
          <w:b/>
          <w:color w:val="auto"/>
          <w:sz w:val="28"/>
          <w:szCs w:val="28"/>
        </w:rPr>
        <w:t>1.4 Другие объекты оценивания</w:t>
      </w:r>
      <w:bookmarkEnd w:id="23"/>
      <w:bookmarkEnd w:id="24"/>
    </w:p>
    <w:p w14:paraId="79C7E7E3" w14:textId="6AC9295D" w:rsidR="00C23E7F" w:rsidRPr="00044C64"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44C64" w:rsidRPr="00044C64" w14:paraId="5B419C41" w14:textId="77777777" w:rsidTr="00044C64">
        <w:tc>
          <w:tcPr>
            <w:tcW w:w="562" w:type="dxa"/>
          </w:tcPr>
          <w:p w14:paraId="79CC934A" w14:textId="77777777" w:rsidR="00044C64" w:rsidRPr="00044C64" w:rsidRDefault="00044C64">
            <w:pPr>
              <w:pStyle w:val="Default"/>
              <w:spacing w:after="30"/>
              <w:jc w:val="both"/>
              <w:rPr>
                <w:sz w:val="23"/>
                <w:szCs w:val="23"/>
                <w:lang w:val="en-US"/>
              </w:rPr>
            </w:pPr>
          </w:p>
        </w:tc>
        <w:tc>
          <w:tcPr>
            <w:tcW w:w="8783" w:type="dxa"/>
            <w:hideMark/>
          </w:tcPr>
          <w:p w14:paraId="383B6FED" w14:textId="77777777" w:rsidR="00044C64" w:rsidRPr="00044C64" w:rsidRDefault="00044C64">
            <w:pPr>
              <w:pStyle w:val="Default"/>
              <w:spacing w:after="30"/>
              <w:jc w:val="both"/>
              <w:rPr>
                <w:sz w:val="23"/>
                <w:szCs w:val="23"/>
              </w:rPr>
            </w:pPr>
            <w:r w:rsidRPr="00044C64">
              <w:rPr>
                <w:sz w:val="23"/>
                <w:szCs w:val="23"/>
              </w:rPr>
              <w:t>Рабочей программой дисциплины не предусмотрено.</w:t>
            </w:r>
          </w:p>
        </w:tc>
      </w:tr>
    </w:tbl>
    <w:p w14:paraId="4244B5BE" w14:textId="77777777" w:rsidR="00044C64" w:rsidRPr="00044C64" w:rsidRDefault="00044C64" w:rsidP="00C23E7F">
      <w:pPr>
        <w:spacing w:after="0" w:line="240" w:lineRule="auto"/>
        <w:jc w:val="center"/>
        <w:rPr>
          <w:rFonts w:ascii="Times New Roman" w:hAnsi="Times New Roman"/>
          <w:b/>
          <w:sz w:val="28"/>
          <w:szCs w:val="28"/>
        </w:rPr>
      </w:pPr>
    </w:p>
    <w:p w14:paraId="11DE9780" w14:textId="77777777" w:rsidR="00B8237E" w:rsidRPr="00044C64" w:rsidRDefault="00B8237E" w:rsidP="00B8237E">
      <w:pPr>
        <w:pStyle w:val="2"/>
        <w:jc w:val="center"/>
        <w:rPr>
          <w:rFonts w:ascii="Times New Roman" w:hAnsi="Times New Roman" w:cs="Times New Roman"/>
          <w:b/>
          <w:color w:val="auto"/>
          <w:sz w:val="28"/>
          <w:szCs w:val="28"/>
        </w:rPr>
      </w:pPr>
      <w:bookmarkStart w:id="25" w:name="_Toc82187018"/>
      <w:bookmarkStart w:id="26" w:name="_Toc232693823"/>
      <w:r w:rsidRPr="00044C64">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044C64" w:rsidRDefault="00B8237E" w:rsidP="00B8237E"/>
    <w:tbl>
      <w:tblPr>
        <w:tblStyle w:val="a4"/>
        <w:tblW w:w="5000" w:type="pct"/>
        <w:tblLook w:val="04A0" w:firstRow="1" w:lastRow="0" w:firstColumn="1" w:lastColumn="0" w:noHBand="0" w:noVBand="1"/>
      </w:tblPr>
      <w:tblGrid>
        <w:gridCol w:w="4672"/>
        <w:gridCol w:w="4673"/>
      </w:tblGrid>
      <w:tr w:rsidR="00B8237E" w:rsidRPr="00044C64" w14:paraId="0267C479" w14:textId="77777777" w:rsidTr="00801458">
        <w:tc>
          <w:tcPr>
            <w:tcW w:w="2500" w:type="pct"/>
          </w:tcPr>
          <w:p w14:paraId="37F699C9" w14:textId="77777777" w:rsidR="00B8237E" w:rsidRPr="00044C64" w:rsidRDefault="00B8237E" w:rsidP="00801458">
            <w:pPr>
              <w:jc w:val="center"/>
              <w:rPr>
                <w:rFonts w:ascii="Times New Roman" w:hAnsi="Times New Roman" w:cs="Times New Roman"/>
                <w:b/>
              </w:rPr>
            </w:pPr>
            <w:r w:rsidRPr="00044C64">
              <w:rPr>
                <w:rFonts w:ascii="Times New Roman" w:hAnsi="Times New Roman" w:cs="Times New Roman"/>
                <w:b/>
              </w:rPr>
              <w:t>Наименования самостоятельной работы</w:t>
            </w:r>
          </w:p>
        </w:tc>
        <w:tc>
          <w:tcPr>
            <w:tcW w:w="2500" w:type="pct"/>
          </w:tcPr>
          <w:p w14:paraId="0A769611" w14:textId="77777777" w:rsidR="00B8237E" w:rsidRPr="00044C64" w:rsidRDefault="00B8237E" w:rsidP="00801458">
            <w:pPr>
              <w:jc w:val="center"/>
              <w:rPr>
                <w:rFonts w:ascii="Times New Roman" w:hAnsi="Times New Roman" w:cs="Times New Roman"/>
                <w:b/>
              </w:rPr>
            </w:pPr>
            <w:r w:rsidRPr="00044C64">
              <w:rPr>
                <w:rFonts w:ascii="Times New Roman" w:hAnsi="Times New Roman" w:cs="Times New Roman"/>
                <w:b/>
              </w:rPr>
              <w:t>Номера тем</w:t>
            </w:r>
          </w:p>
        </w:tc>
      </w:tr>
      <w:tr w:rsidR="00B8237E" w:rsidRPr="00044C64" w14:paraId="3F240151" w14:textId="77777777" w:rsidTr="00801458">
        <w:tc>
          <w:tcPr>
            <w:tcW w:w="2500" w:type="pct"/>
          </w:tcPr>
          <w:p w14:paraId="61E91592" w14:textId="61A0874C" w:rsidR="00B8237E" w:rsidRPr="00044C64" w:rsidRDefault="00B8237E" w:rsidP="00801458">
            <w:pPr>
              <w:rPr>
                <w:rFonts w:ascii="Times New Roman" w:hAnsi="Times New Roman" w:cs="Times New Roman"/>
                <w:lang w:val="en-US"/>
              </w:rPr>
            </w:pPr>
            <w:r w:rsidRPr="00044C64">
              <w:rPr>
                <w:rFonts w:ascii="Times New Roman" w:hAnsi="Times New Roman" w:cs="Times New Roman"/>
                <w:lang w:val="en-US"/>
              </w:rPr>
              <w:t>Решение профессиональных задач</w:t>
            </w:r>
          </w:p>
        </w:tc>
        <w:tc>
          <w:tcPr>
            <w:tcW w:w="2500" w:type="pct"/>
          </w:tcPr>
          <w:p w14:paraId="45ED640C" w14:textId="16CDBBD7" w:rsidR="00B8237E" w:rsidRPr="00044C64" w:rsidRDefault="005C548A" w:rsidP="00801458">
            <w:pPr>
              <w:rPr>
                <w:rFonts w:ascii="Times New Roman" w:hAnsi="Times New Roman" w:cs="Times New Roman"/>
              </w:rPr>
            </w:pPr>
            <w:r w:rsidRPr="00044C64">
              <w:rPr>
                <w:rFonts w:ascii="Times New Roman" w:hAnsi="Times New Roman" w:cs="Times New Roman"/>
                <w:lang w:val="en-US"/>
              </w:rPr>
              <w:t>1-10</w:t>
            </w:r>
          </w:p>
        </w:tc>
      </w:tr>
      <w:tr w:rsidR="00B8237E" w:rsidRPr="00044C64" w14:paraId="2EB5E67A" w14:textId="77777777" w:rsidTr="00801458">
        <w:tc>
          <w:tcPr>
            <w:tcW w:w="2500" w:type="pct"/>
          </w:tcPr>
          <w:p w14:paraId="45C203B6" w14:textId="77777777" w:rsidR="00B8237E" w:rsidRPr="00044C64" w:rsidRDefault="00B8237E" w:rsidP="00801458">
            <w:pPr>
              <w:rPr>
                <w:rFonts w:ascii="Times New Roman" w:hAnsi="Times New Roman" w:cs="Times New Roman"/>
              </w:rPr>
            </w:pPr>
            <w:r w:rsidRPr="00044C64">
              <w:rPr>
                <w:rFonts w:ascii="Times New Roman" w:hAnsi="Times New Roman" w:cs="Times New Roman"/>
              </w:rPr>
              <w:t>Подготовка к лекционным и практическим занятиям</w:t>
            </w:r>
          </w:p>
        </w:tc>
        <w:tc>
          <w:tcPr>
            <w:tcW w:w="2500" w:type="pct"/>
          </w:tcPr>
          <w:p w14:paraId="3F15499D" w14:textId="77777777" w:rsidR="00B8237E" w:rsidRPr="00044C64" w:rsidRDefault="005C548A" w:rsidP="00801458">
            <w:pPr>
              <w:rPr>
                <w:rFonts w:ascii="Times New Roman" w:hAnsi="Times New Roman" w:cs="Times New Roman"/>
              </w:rPr>
            </w:pPr>
            <w:r w:rsidRPr="00044C64">
              <w:rPr>
                <w:rFonts w:ascii="Times New Roman" w:hAnsi="Times New Roman" w:cs="Times New Roman"/>
                <w:lang w:val="en-US"/>
              </w:rPr>
              <w:t>1-10</w:t>
            </w:r>
          </w:p>
        </w:tc>
      </w:tr>
    </w:tbl>
    <w:p w14:paraId="6EB485C6" w14:textId="6A0F7BEC" w:rsidR="00C23E7F" w:rsidRPr="00044C64"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32693824"/>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7"/>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C4527" w14:textId="77777777" w:rsidR="00FF2316" w:rsidRDefault="00FF2316" w:rsidP="00315CA6">
      <w:pPr>
        <w:spacing w:after="0" w:line="240" w:lineRule="auto"/>
      </w:pPr>
      <w:r>
        <w:separator/>
      </w:r>
    </w:p>
  </w:endnote>
  <w:endnote w:type="continuationSeparator" w:id="0">
    <w:p w14:paraId="2DB22A2A" w14:textId="77777777" w:rsidR="00FF2316" w:rsidRDefault="00FF231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AFF" w:usb1="C000E47F" w:usb2="00000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6F1DA376" w:rsidR="00801458" w:rsidRDefault="00801458">
        <w:pPr>
          <w:pStyle w:val="af4"/>
          <w:jc w:val="center"/>
        </w:pPr>
        <w:r>
          <w:fldChar w:fldCharType="begin"/>
        </w:r>
        <w:r>
          <w:instrText>PAGE   \* MERGEFORMAT</w:instrText>
        </w:r>
        <w:r>
          <w:fldChar w:fldCharType="separate"/>
        </w:r>
        <w:r w:rsidR="00F22E50">
          <w:rPr>
            <w:noProof/>
          </w:rPr>
          <w:t>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BEE57" w14:textId="77777777" w:rsidR="00FF2316" w:rsidRDefault="00FF2316" w:rsidP="00315CA6">
      <w:pPr>
        <w:spacing w:after="0" w:line="240" w:lineRule="auto"/>
      </w:pPr>
      <w:r>
        <w:separator/>
      </w:r>
    </w:p>
  </w:footnote>
  <w:footnote w:type="continuationSeparator" w:id="0">
    <w:p w14:paraId="5C7ABFB5" w14:textId="77777777" w:rsidR="00FF2316" w:rsidRDefault="00FF2316"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B4"/>
    <w:rsid w:val="000022CD"/>
    <w:rsid w:val="00013684"/>
    <w:rsid w:val="00025EE1"/>
    <w:rsid w:val="00041FD1"/>
    <w:rsid w:val="00044C64"/>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B3A96"/>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22E50"/>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2316"/>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chartTrackingRefBased/>
  <w15:docId w15:val="{8B4327E8-542E-40D2-AC21-4FF382BC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styleId="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01308835">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39792076">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rebennikon.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rait.ru/bcode/599118"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582740%20" TargetMode="External"/><Relationship Id="rId5" Type="http://schemas.openxmlformats.org/officeDocument/2006/relationships/numbering" Target="numbering.xml"/><Relationship Id="rId15" Type="http://schemas.openxmlformats.org/officeDocument/2006/relationships/hyperlink" Target="http://www.oecd-ilibrary.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lpre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E16260-9DAF-4BC6-941A-BD089C79E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13</Pages>
  <Words>3534</Words>
  <Characters>20146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2026-06-18T13:49:00Z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